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56CE" w14:textId="77777777" w:rsidR="00B144CD" w:rsidRPr="0046208E" w:rsidRDefault="00CC6A1F" w:rsidP="00CC6A1F">
      <w:pPr>
        <w:spacing w:line="360" w:lineRule="auto"/>
        <w:jc w:val="center"/>
        <w:rPr>
          <w:rFonts w:ascii="Arial" w:eastAsia="Cambria" w:hAnsi="Arial" w:cs="Arial"/>
          <w:b/>
          <w:iCs/>
          <w:sz w:val="22"/>
          <w:szCs w:val="22"/>
        </w:rPr>
      </w:pPr>
      <w:r w:rsidRPr="0046208E">
        <w:rPr>
          <w:rFonts w:ascii="Arial" w:eastAsia="Cambria" w:hAnsi="Arial" w:cs="Arial"/>
          <w:b/>
          <w:iCs/>
          <w:sz w:val="22"/>
          <w:szCs w:val="22"/>
        </w:rPr>
        <w:t>ESTUDO TÉCNICO PRELIMINAR - ETP</w:t>
      </w:r>
    </w:p>
    <w:p w14:paraId="7326E2E4" w14:textId="77AC465C" w:rsidR="00733D1B" w:rsidRPr="0046208E" w:rsidRDefault="00733D1B" w:rsidP="00733D1B">
      <w:pPr>
        <w:pStyle w:val="Corpodetexto"/>
        <w:spacing w:before="120"/>
        <w:jc w:val="center"/>
        <w:rPr>
          <w:rFonts w:ascii="Arial" w:hAnsi="Arial" w:cs="Arial"/>
        </w:rPr>
      </w:pPr>
      <w:r w:rsidRPr="0046208E">
        <w:rPr>
          <w:rFonts w:ascii="Arial" w:hAnsi="Arial" w:cs="Arial"/>
        </w:rPr>
        <w:t>Processo</w:t>
      </w:r>
      <w:r w:rsidR="000E6669" w:rsidRPr="0046208E">
        <w:rPr>
          <w:rFonts w:ascii="Arial" w:hAnsi="Arial" w:cs="Arial"/>
        </w:rPr>
        <w:t xml:space="preserve"> UDESC </w:t>
      </w:r>
      <w:r w:rsidRPr="0046208E">
        <w:rPr>
          <w:rFonts w:ascii="Arial" w:hAnsi="Arial" w:cs="Arial"/>
        </w:rPr>
        <w:t xml:space="preserve"> </w:t>
      </w:r>
      <w:r w:rsidRPr="000A5CE3">
        <w:rPr>
          <w:rFonts w:ascii="Arial" w:hAnsi="Arial" w:cs="Arial"/>
          <w:highlight w:val="yellow"/>
        </w:rPr>
        <w:t xml:space="preserve">SGPe </w:t>
      </w:r>
      <w:r w:rsidR="00067984">
        <w:rPr>
          <w:rFonts w:ascii="Arial" w:hAnsi="Arial" w:cs="Arial"/>
          <w:color w:val="548DD4"/>
          <w:highlight w:val="yellow"/>
        </w:rPr>
        <w:t>2</w:t>
      </w:r>
      <w:r w:rsidR="00427549">
        <w:rPr>
          <w:rFonts w:ascii="Arial" w:hAnsi="Arial" w:cs="Arial"/>
          <w:color w:val="548DD4"/>
          <w:highlight w:val="yellow"/>
        </w:rPr>
        <w:t>9620</w:t>
      </w:r>
      <w:r w:rsidRPr="000A5CE3">
        <w:rPr>
          <w:rFonts w:ascii="Arial" w:hAnsi="Arial" w:cs="Arial"/>
          <w:highlight w:val="yellow"/>
        </w:rPr>
        <w:t>/202</w:t>
      </w:r>
      <w:r w:rsidR="000A5CE3" w:rsidRPr="000A5CE3">
        <w:rPr>
          <w:rFonts w:ascii="Arial" w:hAnsi="Arial" w:cs="Arial"/>
          <w:highlight w:val="yellow"/>
        </w:rPr>
        <w:t>4</w:t>
      </w:r>
    </w:p>
    <w:p w14:paraId="35DB3EAA" w14:textId="77777777" w:rsidR="00A1159A" w:rsidRPr="0046208E" w:rsidRDefault="00A1159A" w:rsidP="00733D1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W w:w="107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365F91"/>
        <w:tblLayout w:type="fixed"/>
        <w:tblLook w:val="0400" w:firstRow="0" w:lastRow="0" w:firstColumn="0" w:lastColumn="0" w:noHBand="0" w:noVBand="1"/>
      </w:tblPr>
      <w:tblGrid>
        <w:gridCol w:w="10766"/>
      </w:tblGrid>
      <w:tr w:rsidR="00733D1B" w:rsidRPr="0046208E" w14:paraId="0C913F32" w14:textId="77777777" w:rsidTr="00807364">
        <w:trPr>
          <w:jc w:val="center"/>
        </w:trPr>
        <w:tc>
          <w:tcPr>
            <w:tcW w:w="10766" w:type="dxa"/>
            <w:shd w:val="clear" w:color="auto" w:fill="369B55"/>
          </w:tcPr>
          <w:p w14:paraId="36FFC0B9" w14:textId="77777777" w:rsidR="00733D1B" w:rsidRPr="0046208E" w:rsidRDefault="00733D1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color w:val="FFFFFF"/>
                <w:sz w:val="22"/>
                <w:szCs w:val="22"/>
              </w:rPr>
              <w:t>I – INFORMAÇÕES GERAIS</w:t>
            </w:r>
          </w:p>
        </w:tc>
      </w:tr>
    </w:tbl>
    <w:p w14:paraId="3B32074E" w14:textId="77777777" w:rsidR="00733D1B" w:rsidRPr="0046208E" w:rsidRDefault="00733D1B" w:rsidP="00733D1B">
      <w:pPr>
        <w:spacing w:line="360" w:lineRule="auto"/>
        <w:rPr>
          <w:rFonts w:ascii="Arial" w:eastAsia="Cambria" w:hAnsi="Arial" w:cs="Arial"/>
          <w:b/>
          <w:iCs/>
          <w:sz w:val="22"/>
          <w:szCs w:val="22"/>
        </w:rPr>
      </w:pPr>
    </w:p>
    <w:tbl>
      <w:tblPr>
        <w:tblW w:w="106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86"/>
      </w:tblGrid>
      <w:tr w:rsidR="00E74608" w:rsidRPr="0046208E" w14:paraId="6AE42716" w14:textId="77777777" w:rsidTr="00DD569C">
        <w:trPr>
          <w:jc w:val="center"/>
        </w:trPr>
        <w:tc>
          <w:tcPr>
            <w:tcW w:w="10686" w:type="dxa"/>
            <w:tcBorders>
              <w:top w:val="single" w:sz="4" w:space="0" w:color="000000"/>
            </w:tcBorders>
            <w:shd w:val="clear" w:color="auto" w:fill="369B55"/>
          </w:tcPr>
          <w:p w14:paraId="4053D376" w14:textId="77777777" w:rsidR="00E74608" w:rsidRPr="0046208E" w:rsidRDefault="00E74608" w:rsidP="00DD569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color w:val="FFFFFF"/>
                <w:sz w:val="22"/>
                <w:szCs w:val="22"/>
              </w:rPr>
              <w:t>1. Equipe de Planejamento</w:t>
            </w: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 (responsáveis pela demanda)</w:t>
            </w:r>
          </w:p>
        </w:tc>
      </w:tr>
      <w:tr w:rsidR="00E74608" w:rsidRPr="0046208E" w14:paraId="4DDB9200" w14:textId="77777777" w:rsidTr="00DD569C">
        <w:trPr>
          <w:jc w:val="center"/>
        </w:trPr>
        <w:tc>
          <w:tcPr>
            <w:tcW w:w="10686" w:type="dxa"/>
            <w:tcBorders>
              <w:top w:val="single" w:sz="4" w:space="0" w:color="000000"/>
            </w:tcBorders>
            <w:shd w:val="clear" w:color="auto" w:fill="auto"/>
          </w:tcPr>
          <w:p w14:paraId="4DBC734C" w14:textId="77777777" w:rsidR="00E74608" w:rsidRPr="0046208E" w:rsidRDefault="00E74608" w:rsidP="00DD569C">
            <w:pPr>
              <w:rPr>
                <w:rFonts w:ascii="Arial" w:hAnsi="Arial" w:cs="Arial"/>
                <w:color w:val="548DD4"/>
                <w:sz w:val="22"/>
                <w:szCs w:val="22"/>
              </w:rPr>
            </w:pPr>
          </w:p>
          <w:tbl>
            <w:tblPr>
              <w:tblW w:w="9818" w:type="dxa"/>
              <w:tblInd w:w="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83"/>
              <w:gridCol w:w="2409"/>
              <w:gridCol w:w="1276"/>
              <w:gridCol w:w="3050"/>
            </w:tblGrid>
            <w:tr w:rsidR="00E74608" w:rsidRPr="0046208E" w14:paraId="44364687" w14:textId="77777777" w:rsidTr="00311773">
              <w:tc>
                <w:tcPr>
                  <w:tcW w:w="3083" w:type="dxa"/>
                  <w:shd w:val="clear" w:color="auto" w:fill="auto"/>
                  <w:vAlign w:val="center"/>
                </w:tcPr>
                <w:p w14:paraId="51A011A3" w14:textId="77777777" w:rsidR="00E74608" w:rsidRPr="0046208E" w:rsidRDefault="00E74608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46208E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Nome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14:paraId="04D16AB1" w14:textId="77777777" w:rsidR="00E74608" w:rsidRPr="00CD3BE6" w:rsidRDefault="00E74608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D3BE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Cargo/função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70F6BEEC" w14:textId="77777777" w:rsidR="00E74608" w:rsidRPr="00CD3BE6" w:rsidRDefault="00E74608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D3BE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Matrícula</w:t>
                  </w:r>
                </w:p>
              </w:tc>
              <w:tc>
                <w:tcPr>
                  <w:tcW w:w="3050" w:type="dxa"/>
                  <w:shd w:val="clear" w:color="auto" w:fill="auto"/>
                  <w:vAlign w:val="center"/>
                </w:tcPr>
                <w:p w14:paraId="45074D88" w14:textId="77777777" w:rsidR="00E74608" w:rsidRPr="0046208E" w:rsidRDefault="00E74608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46208E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E-mail</w:t>
                  </w:r>
                </w:p>
              </w:tc>
            </w:tr>
            <w:tr w:rsidR="00E74608" w:rsidRPr="0046208E" w14:paraId="7A1B2F07" w14:textId="77777777" w:rsidTr="00311773">
              <w:tc>
                <w:tcPr>
                  <w:tcW w:w="3083" w:type="dxa"/>
                  <w:shd w:val="clear" w:color="auto" w:fill="auto"/>
                  <w:vAlign w:val="center"/>
                </w:tcPr>
                <w:p w14:paraId="0B5FC84B" w14:textId="77777777" w:rsidR="00E74608" w:rsidRPr="0046208E" w:rsidRDefault="00E74608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B669E">
                    <w:rPr>
                      <w:rFonts w:ascii="Arial" w:hAnsi="Arial" w:cs="Arial"/>
                      <w:sz w:val="22"/>
                      <w:szCs w:val="22"/>
                    </w:rPr>
                    <w:t xml:space="preserve">Evandro José </w:t>
                  </w:r>
                  <w:proofErr w:type="spellStart"/>
                  <w:r w:rsidRPr="002B669E">
                    <w:rPr>
                      <w:rFonts w:ascii="Arial" w:hAnsi="Arial" w:cs="Arial"/>
                      <w:sz w:val="22"/>
                      <w:szCs w:val="22"/>
                    </w:rPr>
                    <w:t>Fuechter</w:t>
                  </w:r>
                  <w:proofErr w:type="spellEnd"/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14:paraId="74939E90" w14:textId="0BC67317" w:rsidR="00E74608" w:rsidRPr="0046208E" w:rsidRDefault="00E74608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Diretor Administrativo</w:t>
                  </w:r>
                  <w:r w:rsidR="00427549">
                    <w:rPr>
                      <w:rFonts w:ascii="Arial" w:hAnsi="Arial" w:cs="Arial"/>
                      <w:sz w:val="22"/>
                      <w:szCs w:val="22"/>
                    </w:rPr>
                    <w:t xml:space="preserve"> do CCT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5E36F8CA" w14:textId="77777777" w:rsidR="00E74608" w:rsidRPr="0046208E" w:rsidRDefault="00E74608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966842-6</w:t>
                  </w:r>
                </w:p>
              </w:tc>
              <w:tc>
                <w:tcPr>
                  <w:tcW w:w="3050" w:type="dxa"/>
                  <w:shd w:val="clear" w:color="auto" w:fill="auto"/>
                  <w:vAlign w:val="center"/>
                </w:tcPr>
                <w:p w14:paraId="7DF34E99" w14:textId="77777777" w:rsidR="00E74608" w:rsidRPr="00AD3E64" w:rsidRDefault="002C282C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1" w:history="1">
                    <w:r w:rsidR="00E74608" w:rsidRPr="00AD3E64">
                      <w:rPr>
                        <w:rStyle w:val="Hyperlink"/>
                        <w:rFonts w:ascii="Arial" w:hAnsi="Arial" w:cs="Arial"/>
                        <w:sz w:val="22"/>
                        <w:szCs w:val="22"/>
                        <w:u w:val="none"/>
                      </w:rPr>
                      <w:t>evandro.fuechter@udesc.br</w:t>
                    </w:r>
                  </w:hyperlink>
                </w:p>
              </w:tc>
            </w:tr>
            <w:tr w:rsidR="00E74608" w:rsidRPr="0046208E" w14:paraId="28D6B500" w14:textId="77777777" w:rsidTr="00311773">
              <w:tc>
                <w:tcPr>
                  <w:tcW w:w="3083" w:type="dxa"/>
                  <w:shd w:val="clear" w:color="auto" w:fill="auto"/>
                  <w:vAlign w:val="center"/>
                </w:tcPr>
                <w:p w14:paraId="46BD5669" w14:textId="7D3600AC" w:rsidR="00E74608" w:rsidRDefault="00427549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Roberto Pacheco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14:paraId="68A8D601" w14:textId="5F2EDB64" w:rsidR="00E74608" w:rsidRDefault="00427549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Coordenador de Serviços Gerais do CCT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3026D8BA" w14:textId="0898FFFB" w:rsidR="00E74608" w:rsidRDefault="00427549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286609-9-01</w:t>
                  </w:r>
                </w:p>
              </w:tc>
              <w:tc>
                <w:tcPr>
                  <w:tcW w:w="3050" w:type="dxa"/>
                  <w:shd w:val="clear" w:color="auto" w:fill="auto"/>
                  <w:vAlign w:val="center"/>
                </w:tcPr>
                <w:p w14:paraId="5D5534C8" w14:textId="396D9139" w:rsidR="00E74608" w:rsidRPr="00427549" w:rsidRDefault="00427549" w:rsidP="00DD569C">
                  <w:pPr>
                    <w:pStyle w:val="PargrafodaLista"/>
                    <w:tabs>
                      <w:tab w:val="left" w:pos="1517"/>
                      <w:tab w:val="left" w:pos="1518"/>
                    </w:tabs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2" w:history="1">
                    <w:r w:rsidRPr="00427549">
                      <w:rPr>
                        <w:rStyle w:val="Hyperlink"/>
                        <w:rFonts w:ascii="Arial" w:hAnsi="Arial" w:cs="Arial"/>
                        <w:sz w:val="22"/>
                        <w:szCs w:val="22"/>
                        <w:u w:val="none"/>
                      </w:rPr>
                      <w:t>roberto.pacheco@udesc.br</w:t>
                    </w:r>
                  </w:hyperlink>
                </w:p>
              </w:tc>
            </w:tr>
          </w:tbl>
          <w:p w14:paraId="7DA8C006" w14:textId="77777777" w:rsidR="00E74608" w:rsidRPr="0046208E" w:rsidRDefault="00E74608" w:rsidP="00311773">
            <w:pPr>
              <w:ind w:left="196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79BE9F76" w14:textId="77777777" w:rsidR="00733D1B" w:rsidRPr="0046208E" w:rsidRDefault="00733D1B" w:rsidP="00CC6A1F">
      <w:pPr>
        <w:spacing w:line="360" w:lineRule="auto"/>
        <w:jc w:val="center"/>
        <w:rPr>
          <w:rFonts w:ascii="Arial" w:eastAsia="Cambria" w:hAnsi="Arial" w:cs="Arial"/>
          <w:b/>
          <w:iCs/>
          <w:sz w:val="22"/>
          <w:szCs w:val="22"/>
        </w:rPr>
      </w:pPr>
    </w:p>
    <w:tbl>
      <w:tblPr>
        <w:tblW w:w="108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365F91"/>
        <w:tblLayout w:type="fixed"/>
        <w:tblLook w:val="0400" w:firstRow="0" w:lastRow="0" w:firstColumn="0" w:lastColumn="0" w:noHBand="0" w:noVBand="1"/>
      </w:tblPr>
      <w:tblGrid>
        <w:gridCol w:w="10837"/>
      </w:tblGrid>
      <w:tr w:rsidR="00A1159A" w:rsidRPr="0046208E" w14:paraId="77A9FDEF" w14:textId="77777777" w:rsidTr="00807364">
        <w:trPr>
          <w:jc w:val="center"/>
        </w:trPr>
        <w:tc>
          <w:tcPr>
            <w:tcW w:w="10837" w:type="dxa"/>
            <w:shd w:val="clear" w:color="auto" w:fill="369B55"/>
          </w:tcPr>
          <w:p w14:paraId="20F87B96" w14:textId="77777777" w:rsidR="00A1159A" w:rsidRPr="0046208E" w:rsidRDefault="00A1159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color w:val="FFFFFF"/>
                <w:sz w:val="22"/>
                <w:szCs w:val="22"/>
              </w:rPr>
              <w:t>II – DIAGNÓSTICO SITUAÇÃO ATUAL</w:t>
            </w:r>
          </w:p>
        </w:tc>
      </w:tr>
    </w:tbl>
    <w:p w14:paraId="4F7FAEDD" w14:textId="77777777" w:rsidR="00A1159A" w:rsidRPr="0046208E" w:rsidRDefault="00A1159A" w:rsidP="00A1159A">
      <w:pPr>
        <w:spacing w:line="360" w:lineRule="auto"/>
        <w:rPr>
          <w:rFonts w:ascii="Arial" w:eastAsia="Cambria" w:hAnsi="Arial" w:cs="Arial"/>
          <w:b/>
          <w:iCs/>
          <w:sz w:val="22"/>
          <w:szCs w:val="22"/>
        </w:rPr>
      </w:pPr>
    </w:p>
    <w:tbl>
      <w:tblPr>
        <w:tblW w:w="109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43"/>
      </w:tblGrid>
      <w:tr w:rsidR="00E74608" w:rsidRPr="0046208E" w14:paraId="4CB7E567" w14:textId="77777777" w:rsidTr="00807364">
        <w:trPr>
          <w:jc w:val="center"/>
        </w:trPr>
        <w:tc>
          <w:tcPr>
            <w:tcW w:w="10943" w:type="dxa"/>
            <w:tcBorders>
              <w:top w:val="single" w:sz="4" w:space="0" w:color="000000"/>
            </w:tcBorders>
            <w:shd w:val="clear" w:color="auto" w:fill="369B55"/>
          </w:tcPr>
          <w:p w14:paraId="706423A2" w14:textId="6291E318" w:rsidR="00E74608" w:rsidRPr="0046208E" w:rsidRDefault="00E74608" w:rsidP="00E74608">
            <w:pPr>
              <w:pStyle w:val="PargrafodaLista"/>
              <w:numPr>
                <w:ilvl w:val="0"/>
                <w:numId w:val="5"/>
              </w:numPr>
              <w:ind w:left="426" w:right="225"/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Descrição do problema a ser resolvido ou da necessidade apresentada </w:t>
            </w:r>
            <w:r w:rsidRPr="0046208E">
              <w:rPr>
                <w:rFonts w:ascii="Arial" w:hAnsi="Arial" w:cs="Arial"/>
                <w:b/>
                <w:color w:val="FFFFFF"/>
                <w:sz w:val="22"/>
                <w:szCs w:val="22"/>
              </w:rPr>
              <w:t>(art. 18, § 1º, I, da Lei Federal nº 14.133, de 2021).</w:t>
            </w:r>
          </w:p>
        </w:tc>
      </w:tr>
      <w:tr w:rsidR="00E74608" w:rsidRPr="0046208E" w14:paraId="341042E8" w14:textId="77777777" w:rsidTr="00807364">
        <w:trPr>
          <w:jc w:val="center"/>
        </w:trPr>
        <w:tc>
          <w:tcPr>
            <w:tcW w:w="10943" w:type="dxa"/>
            <w:tcBorders>
              <w:top w:val="single" w:sz="4" w:space="0" w:color="000000"/>
            </w:tcBorders>
            <w:shd w:val="clear" w:color="auto" w:fill="auto"/>
          </w:tcPr>
          <w:p w14:paraId="11C1F746" w14:textId="77777777" w:rsidR="00E74608" w:rsidRPr="0046208E" w:rsidRDefault="00E74608" w:rsidP="00E746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7C74A" w14:textId="77777777" w:rsidR="00CD396B" w:rsidRDefault="00AD3E64" w:rsidP="00AD3E6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D3E64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="00CD396B" w:rsidRPr="00CD396B">
              <w:rPr>
                <w:rFonts w:ascii="Arial" w:hAnsi="Arial" w:cs="Arial"/>
                <w:bCs/>
                <w:sz w:val="22"/>
                <w:szCs w:val="22"/>
              </w:rPr>
              <w:t xml:space="preserve">aquisição de </w:t>
            </w:r>
            <w:r w:rsidR="00CD396B">
              <w:rPr>
                <w:rFonts w:ascii="Arial" w:hAnsi="Arial" w:cs="Arial"/>
                <w:bCs/>
                <w:sz w:val="22"/>
                <w:szCs w:val="22"/>
              </w:rPr>
              <w:t>material elétrico</w:t>
            </w:r>
            <w:r w:rsidR="00CD396B" w:rsidRPr="00CD396B">
              <w:rPr>
                <w:rFonts w:ascii="Arial" w:hAnsi="Arial" w:cs="Arial"/>
                <w:bCs/>
                <w:sz w:val="22"/>
                <w:szCs w:val="22"/>
              </w:rPr>
              <w:t xml:space="preserve"> para a UDESC visa atender a demanda relacionada a área Administrativa e as atividades de Ensino, Pesquisa e Extensão da Universidade.   </w:t>
            </w:r>
          </w:p>
          <w:p w14:paraId="4BB7F2B1" w14:textId="77777777" w:rsidR="00CD396B" w:rsidRDefault="00CD396B" w:rsidP="00AD3E6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FE1DE67" w14:textId="77777777" w:rsidR="00CD396B" w:rsidRPr="00CD396B" w:rsidRDefault="00CD396B" w:rsidP="00CD39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 xml:space="preserve">A Universidade do Estado de Santa Catarina (UDESC) enfrenta desafios significativos relacionados à infraestrutura elétrica em todos os seus </w:t>
            </w:r>
            <w:proofErr w:type="spellStart"/>
            <w:r w:rsidRPr="00CD396B">
              <w:rPr>
                <w:rFonts w:ascii="Arial" w:hAnsi="Arial" w:cs="Arial"/>
                <w:sz w:val="22"/>
                <w:szCs w:val="22"/>
              </w:rPr>
              <w:t>campi</w:t>
            </w:r>
            <w:proofErr w:type="spellEnd"/>
            <w:r w:rsidRPr="00CD396B">
              <w:rPr>
                <w:rFonts w:ascii="Arial" w:hAnsi="Arial" w:cs="Arial"/>
                <w:sz w:val="22"/>
                <w:szCs w:val="22"/>
              </w:rPr>
              <w:t>. O sistema elétrico atual, em muitas instalações, está defasado e sobrecarregado, o que resulta em frequentes interrupções de energia, problemas de sobrecarga e riscos de curtos-circuitos. Esses problemas comprometem diretamente a continuidade das atividades acadêmicas e administrativas, afetando a qualidade do ensino, da pesquisa e dos serviços prestados pela universidade.</w:t>
            </w:r>
          </w:p>
          <w:p w14:paraId="471E08CF" w14:textId="77777777" w:rsidR="00CD396B" w:rsidRPr="00CD396B" w:rsidRDefault="00CD396B" w:rsidP="00CD39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44BC8C" w14:textId="77777777" w:rsidR="00CD396B" w:rsidRPr="00CD396B" w:rsidRDefault="00CD396B" w:rsidP="00CD39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 xml:space="preserve">Os equipamentos e instalações de diversos </w:t>
            </w:r>
            <w:proofErr w:type="spellStart"/>
            <w:r w:rsidRPr="00CD396B">
              <w:rPr>
                <w:rFonts w:ascii="Arial" w:hAnsi="Arial" w:cs="Arial"/>
                <w:sz w:val="22"/>
                <w:szCs w:val="22"/>
              </w:rPr>
              <w:t>campi</w:t>
            </w:r>
            <w:proofErr w:type="spellEnd"/>
            <w:r w:rsidRPr="00CD396B">
              <w:rPr>
                <w:rFonts w:ascii="Arial" w:hAnsi="Arial" w:cs="Arial"/>
                <w:sz w:val="22"/>
                <w:szCs w:val="22"/>
              </w:rPr>
              <w:t xml:space="preserve"> da UDESC necessitam de manutenção constante e atualização para garantir um ambiente seguro e funcional. A ausência de material elétrico adequado, como fios, cabos, disjuntores, lâmpadas, tomadas e interruptores, impede a realização de reparos necessários e a implementação de melhorias na infraestrutura elétrica. Isso não só afeta a eficiência operacional da instituição, mas também coloca em risco a segurança de estudantes, professores, funcionários e visitantes.</w:t>
            </w:r>
          </w:p>
          <w:p w14:paraId="76022E68" w14:textId="77777777" w:rsidR="00CD396B" w:rsidRPr="00CD396B" w:rsidRDefault="00CD396B" w:rsidP="00CD39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BB4D08" w14:textId="77777777" w:rsidR="00CD396B" w:rsidRPr="00CD396B" w:rsidRDefault="00CD396B" w:rsidP="00CD39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>Além dos problemas imediatos de segurança e funcionalidade, a falta de material elétrico de qualidade impede a UDESC de adotar práticas mais sustentáveis e eficientes em termos energéticos. A utilização de equipamentos elétricos desatualizados e ineficientes resulta em um consumo elevado de energia, impactando negativamente o orçamento da universidade e sua pegada ambiental. A modernização dos sistemas elétricos com materiais de alta eficiência energética é crucial para reduzir o consumo de energia e os custos operacionais, promovendo a sustentabilidade da instituição.</w:t>
            </w:r>
          </w:p>
          <w:p w14:paraId="4887127C" w14:textId="77777777" w:rsidR="00CD396B" w:rsidRPr="00CD396B" w:rsidRDefault="00CD396B" w:rsidP="00CD39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DCEC14" w14:textId="77777777" w:rsidR="00CD396B" w:rsidRPr="00CD396B" w:rsidRDefault="00CD396B" w:rsidP="00CD39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>A crescente demanda por tecnologia e a necessidade de suportar equipamentos avançados em laboratórios, bibliotecas, salas de aula e centros de pesquisa exigem uma infraestrutura elétrica robusta e confiável. Sem a atualização e a expansão das redes elétricas, a capacidade da UDESC de acompanhar o desenvolvimento tecnológico e atender às necessidades acadêmicas e de pesquisa é severamente limitada. A modernização da infraestrutura elétrica é necessária para garantir que a universidade possa oferecer um ambiente de aprendizado e pesquisa de alta qualidade, capaz de suportar as tecnologias emergentes e as crescentes demandas de seus usuários.</w:t>
            </w:r>
          </w:p>
          <w:p w14:paraId="36596441" w14:textId="77777777" w:rsidR="00CD396B" w:rsidRPr="00CD396B" w:rsidRDefault="00CD396B" w:rsidP="00CD39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4E5B06" w14:textId="77777777" w:rsidR="00E74608" w:rsidRDefault="00CD396B" w:rsidP="00CD39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 xml:space="preserve">Portanto, a aquisição de material elétrico é uma necessidade premente para resolver os problemas de infraestrutura elétrica da UDESC. Este investimento permitirá a realização de manutenções corretivas e </w:t>
            </w:r>
            <w:r w:rsidRPr="00CD396B">
              <w:rPr>
                <w:rFonts w:ascii="Arial" w:hAnsi="Arial" w:cs="Arial"/>
                <w:sz w:val="22"/>
                <w:szCs w:val="22"/>
              </w:rPr>
              <w:lastRenderedPageBreak/>
              <w:t>preventivas, a modernização dos sistemas elétricos, a melhoria da eficiência energética e a garantia da segurança de todos que utilizam as instalações da universidade. A resolução desses problemas é essencial para assegurar a continuidade e a qualidade das atividades acadêmicas e administrativas, promover a sustentabilidade e o desenvolvimento contínuo da instituição, e cumprir a missão educacional e científica da UDESC.</w:t>
            </w:r>
          </w:p>
          <w:p w14:paraId="3F9E397D" w14:textId="49C5AB6D" w:rsidR="00CD396B" w:rsidRPr="0046208E" w:rsidRDefault="00CD396B" w:rsidP="00CD396B">
            <w:pPr>
              <w:jc w:val="both"/>
              <w:rPr>
                <w:rFonts w:ascii="Arial" w:hAnsi="Arial" w:cs="Arial"/>
                <w:color w:val="548DD4"/>
                <w:sz w:val="22"/>
                <w:szCs w:val="22"/>
              </w:rPr>
            </w:pPr>
          </w:p>
        </w:tc>
      </w:tr>
      <w:tr w:rsidR="00A1159A" w:rsidRPr="0046208E" w14:paraId="2C3B8FD7" w14:textId="77777777" w:rsidTr="00807364">
        <w:trPr>
          <w:jc w:val="center"/>
        </w:trPr>
        <w:tc>
          <w:tcPr>
            <w:tcW w:w="10943" w:type="dxa"/>
            <w:tcBorders>
              <w:top w:val="single" w:sz="4" w:space="0" w:color="000000"/>
            </w:tcBorders>
            <w:shd w:val="clear" w:color="auto" w:fill="369B55"/>
          </w:tcPr>
          <w:p w14:paraId="6EE39798" w14:textId="77777777" w:rsidR="00A1159A" w:rsidRPr="0046208E" w:rsidRDefault="00A1159A" w:rsidP="006F62A8">
            <w:pPr>
              <w:pStyle w:val="PargrafodaLista"/>
              <w:numPr>
                <w:ilvl w:val="0"/>
                <w:numId w:val="5"/>
              </w:numPr>
              <w:ind w:left="426" w:right="225"/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lastRenderedPageBreak/>
              <w:t xml:space="preserve">Demonstração da previsão da contratação com o Plano Anual de Compras </w:t>
            </w:r>
            <w:r w:rsidR="009D683E" w:rsidRPr="0046208E">
              <w:rPr>
                <w:rFonts w:ascii="Arial" w:hAnsi="Arial" w:cs="Arial"/>
                <w:b/>
                <w:color w:val="FFFFFF"/>
                <w:sz w:val="22"/>
                <w:szCs w:val="22"/>
              </w:rPr>
              <w:t>(art. 18, § 1º, II, da Lei Federal nº 14.133, de 2021).</w:t>
            </w:r>
          </w:p>
        </w:tc>
      </w:tr>
      <w:tr w:rsidR="00A1159A" w:rsidRPr="0046208E" w14:paraId="75987F50" w14:textId="77777777" w:rsidTr="00807364">
        <w:trPr>
          <w:jc w:val="center"/>
        </w:trPr>
        <w:tc>
          <w:tcPr>
            <w:tcW w:w="109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DF11AA9" w14:textId="35EC983A" w:rsidR="00A1159A" w:rsidRPr="00303DFB" w:rsidRDefault="00303DFB" w:rsidP="00303DFB">
            <w:pPr>
              <w:widowControl w:val="0"/>
              <w:suppressAutoHyphens/>
              <w:spacing w:after="360"/>
              <w:jc w:val="both"/>
              <w:rPr>
                <w:rFonts w:ascii="Arial" w:hAnsi="Arial" w:cs="Arial"/>
                <w:bCs/>
                <w:color w:val="4472C4"/>
                <w:sz w:val="22"/>
                <w:szCs w:val="22"/>
              </w:rPr>
            </w:pPr>
            <w:r w:rsidRPr="00303DFB">
              <w:rPr>
                <w:rFonts w:ascii="Arial" w:hAnsi="Arial" w:cs="Arial"/>
                <w:bCs/>
                <w:sz w:val="22"/>
                <w:szCs w:val="22"/>
              </w:rPr>
              <w:t xml:space="preserve">A Contratação está prevista no Plano Anual de Compras da UDESC, em seu item </w:t>
            </w:r>
            <w:r w:rsidR="00CD396B">
              <w:rPr>
                <w:rFonts w:ascii="Arial" w:hAnsi="Arial" w:cs="Arial"/>
                <w:bCs/>
                <w:sz w:val="22"/>
                <w:szCs w:val="22"/>
              </w:rPr>
              <w:t xml:space="preserve">64, </w:t>
            </w:r>
            <w:r w:rsidR="00CD396B" w:rsidRPr="00CD396B">
              <w:rPr>
                <w:rFonts w:ascii="Arial" w:hAnsi="Arial" w:cs="Arial"/>
                <w:bCs/>
                <w:sz w:val="22"/>
                <w:szCs w:val="22"/>
              </w:rPr>
              <w:t>objetivando a manutenção das rotinas administrativas e o suporte e auxílio para o Ensino, Pesquisa e Extensão. As quantidades informadas foram determinadas a partir do consumo anterior e previsão do aumento de demanda para o atendimento do novo Centro recém-inaugurado na cidade de Caçador.</w:t>
            </w:r>
          </w:p>
        </w:tc>
      </w:tr>
      <w:tr w:rsidR="00A1159A" w:rsidRPr="0046208E" w14:paraId="50D0A98F" w14:textId="77777777" w:rsidTr="00807364">
        <w:trPr>
          <w:jc w:val="center"/>
        </w:trPr>
        <w:tc>
          <w:tcPr>
            <w:tcW w:w="10943" w:type="dxa"/>
            <w:tcBorders>
              <w:top w:val="single" w:sz="4" w:space="0" w:color="000000"/>
            </w:tcBorders>
            <w:shd w:val="clear" w:color="auto" w:fill="369B55"/>
          </w:tcPr>
          <w:p w14:paraId="7659098F" w14:textId="77777777" w:rsidR="00A1159A" w:rsidRPr="0046208E" w:rsidRDefault="00A1159A" w:rsidP="006F62A8">
            <w:pPr>
              <w:pStyle w:val="PargrafodaLista"/>
              <w:numPr>
                <w:ilvl w:val="0"/>
                <w:numId w:val="5"/>
              </w:numPr>
              <w:ind w:left="426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Descrição dos requisitos </w:t>
            </w:r>
            <w:proofErr w:type="gramStart"/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da potencial</w:t>
            </w:r>
            <w:proofErr w:type="gramEnd"/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contratação </w:t>
            </w:r>
            <w:r w:rsidRPr="0046208E">
              <w:rPr>
                <w:rFonts w:ascii="Arial" w:hAnsi="Arial" w:cs="Arial"/>
                <w:b/>
                <w:color w:val="FFFFFF"/>
                <w:sz w:val="22"/>
                <w:szCs w:val="22"/>
              </w:rPr>
              <w:t>(art. 18, § 1º, III, da Lei Federal nº 14.133, de 2021)</w:t>
            </w:r>
          </w:p>
        </w:tc>
      </w:tr>
      <w:tr w:rsidR="00A1159A" w:rsidRPr="0046208E" w14:paraId="0DA60699" w14:textId="77777777" w:rsidTr="00807364">
        <w:trPr>
          <w:jc w:val="center"/>
        </w:trPr>
        <w:tc>
          <w:tcPr>
            <w:tcW w:w="109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4CF622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 xml:space="preserve">Para a potencial contratação de material elétrico para a Universidade do Estado de Santa Catarina (UDESC), é fundamental estabelecer requisitos indispensáveis e padrões mínimos de qualidade que assegurem a funcionalidade, segurança e eficiência das instalações elétricas em todos os </w:t>
            </w:r>
            <w:proofErr w:type="spellStart"/>
            <w:r w:rsidRPr="00CD396B">
              <w:rPr>
                <w:rFonts w:ascii="Arial" w:hAnsi="Arial" w:cs="Arial"/>
                <w:sz w:val="22"/>
                <w:szCs w:val="22"/>
              </w:rPr>
              <w:t>campi</w:t>
            </w:r>
            <w:proofErr w:type="spellEnd"/>
            <w:r w:rsidRPr="00CD396B">
              <w:rPr>
                <w:rFonts w:ascii="Arial" w:hAnsi="Arial" w:cs="Arial"/>
                <w:sz w:val="22"/>
                <w:szCs w:val="22"/>
              </w:rPr>
              <w:t xml:space="preserve"> da instituição.</w:t>
            </w:r>
          </w:p>
          <w:p w14:paraId="548B5B94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14525D2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>Os requisitos indispensáveis incluem a conformidade com as normas técnicas nacionais e internacionais aplicáveis, como as normas da Associação Brasileira de Normas Técnicas (ABNT) e certificações de qualidade ISO. Todos os materiais elétricos devem possuir certificação de eficiência energética, refletindo o compromisso da UDESC com a sustentabilidade e a redução do consumo de energia.</w:t>
            </w:r>
          </w:p>
          <w:p w14:paraId="54C88FBA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3EB361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>Os materiais devem ser de alta durabilidade e resistência, adequados para o uso contínuo em ambientes educacionais e administrativos. Itens como fios, cabos, disjuntores, lâmpadas, tomadas e interruptores devem ser fabricados com materiais de qualidade que garantam a segurança e a longevidade das instalações. Dispositivos de proteção, como disjuntores e fusíveis, devem atender aos padrões de segurança mais rigorosos para prevenir sobrecargas e curtos-circuitos, minimizando o risco de acidentes elétricos.</w:t>
            </w:r>
          </w:p>
          <w:p w14:paraId="59746940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F6B45C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>A compatibilidade com a infraestrutura elétrica existente é essencial para garantir a integração e a substituição fácil e eficiente dos componentes. Materiais como cabos e conectores devem ter especificações que permitam a continuidade e a uniformidade da rede elétrica atual, facilitando a manutenção e a expansão futura.</w:t>
            </w:r>
          </w:p>
          <w:p w14:paraId="50720DC7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877BC3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>A facilidade de instalação e manutenção também é um requisito importante. Os materiais devem ser projetados para permitir a instalação rápida e segura, reduzindo o tempo de inatividade das instalações e os custos associados à mão de obra. Além disso, devem possibilitar a manutenção preventiva e corretiva de forma eficiente, com componentes de fácil acesso e substituição.</w:t>
            </w:r>
          </w:p>
          <w:p w14:paraId="62A3B3F7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3BF98D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>Os padrões mínimos de qualidade exigem que todos os materiais sejam novos e estejam em perfeito estado de funcionamento, livres de defeitos e danos. Devem ser fornecidos por fabricantes renomados, com histórico comprovado de qualidade e conformidade com as normas de segurança e desempenho.</w:t>
            </w:r>
          </w:p>
          <w:p w14:paraId="40E16280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8C9EE5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>A entrega deve ser acompanhada de toda a documentação necessária, incluindo certificados de conformidade, manuais de instalação e manutenção, além de garantias que assegurem a substituição ou reparo em caso de falhas ou defeitos. Um suporte técnico especializado deve estar disponível para auxiliar na instalação, manutenção e resolução de possíveis problemas, garantindo a operação contínua e segura das instalações elétricas.</w:t>
            </w:r>
          </w:p>
          <w:p w14:paraId="2AB87B3A" w14:textId="77777777" w:rsidR="00CD396B" w:rsidRPr="00CD396B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EF25C2" w14:textId="77777777" w:rsidR="00A1159A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96B">
              <w:rPr>
                <w:rFonts w:ascii="Arial" w:hAnsi="Arial" w:cs="Arial"/>
                <w:sz w:val="22"/>
                <w:szCs w:val="22"/>
              </w:rPr>
              <w:t xml:space="preserve">Em resumo, os requisitos indispensáveis para a potencial contratação de material elétrico para a UDESC incluem conformidade com normas técnicas, certificação de eficiência energética, durabilidade, compatibilidade com a infraestrutura existente, facilidade de instalação e manutenção, fornecimento por fabricantes renomados e suporte técnico especializado. Os padrões mínimos de qualidade envolvem materiais novos, livres de </w:t>
            </w:r>
            <w:r w:rsidRPr="00CD396B">
              <w:rPr>
                <w:rFonts w:ascii="Arial" w:hAnsi="Arial" w:cs="Arial"/>
                <w:sz w:val="22"/>
                <w:szCs w:val="22"/>
              </w:rPr>
              <w:lastRenderedPageBreak/>
              <w:t>defeitos, com certificação de conformidade e garantias adequadas. Esses critérios são essenciais para garantir a segurança, eficiência e sustentabilidade das instalações elétricas da universidade.</w:t>
            </w:r>
          </w:p>
          <w:p w14:paraId="4DB0AB3C" w14:textId="26BEF5F9" w:rsidR="00CD396B" w:rsidRPr="008854B9" w:rsidRDefault="00CD396B" w:rsidP="00CD396B">
            <w:pPr>
              <w:suppressAutoHyphens/>
              <w:ind w:right="-33"/>
              <w:jc w:val="both"/>
              <w:rPr>
                <w:rFonts w:ascii="Arial" w:hAnsi="Arial" w:cs="Arial"/>
                <w:b/>
                <w:bCs/>
                <w:color w:val="548DD4"/>
                <w:sz w:val="22"/>
                <w:szCs w:val="22"/>
              </w:rPr>
            </w:pPr>
          </w:p>
        </w:tc>
      </w:tr>
      <w:tr w:rsidR="00A1159A" w:rsidRPr="0046208E" w14:paraId="076CA492" w14:textId="77777777" w:rsidTr="00807364">
        <w:trPr>
          <w:jc w:val="center"/>
        </w:trPr>
        <w:tc>
          <w:tcPr>
            <w:tcW w:w="10943" w:type="dxa"/>
            <w:tcBorders>
              <w:top w:val="single" w:sz="4" w:space="0" w:color="000000"/>
            </w:tcBorders>
            <w:shd w:val="clear" w:color="auto" w:fill="369B55"/>
          </w:tcPr>
          <w:p w14:paraId="3557E157" w14:textId="77777777" w:rsidR="00A1159A" w:rsidRPr="0046208E" w:rsidRDefault="00A1159A" w:rsidP="006F62A8">
            <w:pPr>
              <w:pStyle w:val="PargrafodaLista"/>
              <w:numPr>
                <w:ilvl w:val="0"/>
                <w:numId w:val="5"/>
              </w:numPr>
              <w:ind w:left="426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lastRenderedPageBreak/>
              <w:t>Estimativas das quantidades para contratação, acompanhadas de memórias de cálculo e dos documentos que lhe dão suporte (considerar interdependências com outras contratações, de modo a possibilitar economia de escala) (art. 18, § 1º, IV, da Lei Federal nº 14.133, de 2021).</w:t>
            </w:r>
          </w:p>
        </w:tc>
      </w:tr>
      <w:tr w:rsidR="00A1159A" w:rsidRPr="0046208E" w14:paraId="485F6F23" w14:textId="77777777" w:rsidTr="00807364">
        <w:trPr>
          <w:jc w:val="center"/>
        </w:trPr>
        <w:tc>
          <w:tcPr>
            <w:tcW w:w="109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00A8FB" w14:textId="58102396" w:rsidR="00A1159A" w:rsidRPr="0083099D" w:rsidRDefault="00CD396B" w:rsidP="0083099D">
            <w:pPr>
              <w:suppressAutoHyphens/>
              <w:ind w:right="-3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D396B">
              <w:rPr>
                <w:rFonts w:ascii="Arial" w:hAnsi="Arial" w:cs="Arial"/>
                <w:bCs/>
                <w:sz w:val="22"/>
                <w:szCs w:val="22"/>
              </w:rPr>
              <w:t xml:space="preserve">Foi realizada análise de consumo pelos demandantes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de todos os Centros da Universidade </w:t>
            </w:r>
            <w:r w:rsidRPr="00CD396B">
              <w:rPr>
                <w:rFonts w:ascii="Arial" w:hAnsi="Arial" w:cs="Arial"/>
                <w:bCs/>
                <w:sz w:val="22"/>
                <w:szCs w:val="22"/>
              </w:rPr>
              <w:t>com base em atas anteriores, além do levantamento do consumo dos materiais baseado nos relatórios do CIASC CSME de 2023 e 2024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Nesse contexto, todas as planilhas dos Campi</w:t>
            </w:r>
            <w:r w:rsidRPr="00CD396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contêm </w:t>
            </w:r>
            <w:r w:rsidRPr="00CD396B">
              <w:rPr>
                <w:rFonts w:ascii="Arial" w:hAnsi="Arial" w:cs="Arial"/>
                <w:bCs/>
                <w:sz w:val="22"/>
                <w:szCs w:val="22"/>
              </w:rPr>
              <w:t xml:space="preserve">um histórico de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solicitação</w:t>
            </w:r>
            <w:r w:rsidRPr="00CD396B">
              <w:rPr>
                <w:rFonts w:ascii="Arial" w:hAnsi="Arial" w:cs="Arial"/>
                <w:bCs/>
                <w:sz w:val="22"/>
                <w:szCs w:val="22"/>
              </w:rPr>
              <w:t xml:space="preserve"> dos itens, prevendo a utilização para o período de 12 meses, com acréscimo de até 20% como margem de segurança.</w:t>
            </w:r>
            <w:r w:rsidR="00330AA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10377646" w14:textId="77777777" w:rsidR="00733D1B" w:rsidRPr="0046208E" w:rsidRDefault="00733D1B" w:rsidP="00CC6A1F">
      <w:pPr>
        <w:spacing w:line="360" w:lineRule="auto"/>
        <w:jc w:val="center"/>
        <w:rPr>
          <w:rFonts w:ascii="Arial" w:eastAsia="Cambria" w:hAnsi="Arial" w:cs="Arial"/>
          <w:b/>
          <w:iCs/>
          <w:sz w:val="22"/>
          <w:szCs w:val="22"/>
        </w:rPr>
      </w:pPr>
    </w:p>
    <w:tbl>
      <w:tblPr>
        <w:tblW w:w="109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365F91"/>
        <w:tblLayout w:type="fixed"/>
        <w:tblLook w:val="0400" w:firstRow="0" w:lastRow="0" w:firstColumn="0" w:lastColumn="0" w:noHBand="0" w:noVBand="1"/>
      </w:tblPr>
      <w:tblGrid>
        <w:gridCol w:w="10908"/>
      </w:tblGrid>
      <w:tr w:rsidR="00A1159A" w:rsidRPr="0046208E" w14:paraId="1A06FBBC" w14:textId="77777777" w:rsidTr="00807364">
        <w:trPr>
          <w:jc w:val="center"/>
        </w:trPr>
        <w:tc>
          <w:tcPr>
            <w:tcW w:w="10908" w:type="dxa"/>
            <w:shd w:val="clear" w:color="auto" w:fill="369B55"/>
          </w:tcPr>
          <w:p w14:paraId="3AC105C4" w14:textId="77777777" w:rsidR="00A1159A" w:rsidRPr="0046208E" w:rsidRDefault="00A1159A" w:rsidP="00807364">
            <w:pPr>
              <w:ind w:right="-255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III – PROSPECÇÃO DE SOLUÇÕES </w:t>
            </w:r>
          </w:p>
        </w:tc>
      </w:tr>
    </w:tbl>
    <w:p w14:paraId="18F4125F" w14:textId="77777777" w:rsidR="00A1159A" w:rsidRPr="0046208E" w:rsidRDefault="00A1159A" w:rsidP="00A1159A">
      <w:pPr>
        <w:spacing w:line="360" w:lineRule="auto"/>
        <w:rPr>
          <w:rFonts w:ascii="Arial" w:eastAsia="Cambria" w:hAnsi="Arial" w:cs="Arial"/>
          <w:b/>
          <w:iCs/>
          <w:sz w:val="22"/>
          <w:szCs w:val="22"/>
        </w:rPr>
      </w:pPr>
    </w:p>
    <w:tbl>
      <w:tblPr>
        <w:tblW w:w="109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08"/>
      </w:tblGrid>
      <w:tr w:rsidR="00A1159A" w:rsidRPr="0046208E" w14:paraId="2D4A2F17" w14:textId="77777777" w:rsidTr="00807364">
        <w:trPr>
          <w:jc w:val="center"/>
        </w:trPr>
        <w:tc>
          <w:tcPr>
            <w:tcW w:w="10908" w:type="dxa"/>
            <w:tcBorders>
              <w:top w:val="single" w:sz="4" w:space="0" w:color="000000"/>
            </w:tcBorders>
            <w:shd w:val="clear" w:color="auto" w:fill="369B55"/>
          </w:tcPr>
          <w:p w14:paraId="66718D64" w14:textId="77777777" w:rsidR="00A1159A" w:rsidRPr="0046208E" w:rsidRDefault="00A1159A" w:rsidP="005051A3">
            <w:pPr>
              <w:pStyle w:val="Pargrafoda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369B55"/>
              <w:ind w:left="460"/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Levantamento mercadológico (que consiste na análise das alternativas possíveis, e justificativa técnica e econômica da escolha do tipo de solução a contratar) (art. 18, § 1º, V, da Lei Federal nº 14.133, de 2021).</w:t>
            </w:r>
          </w:p>
        </w:tc>
      </w:tr>
      <w:tr w:rsidR="00A1159A" w:rsidRPr="0046208E" w14:paraId="3A40353F" w14:textId="77777777" w:rsidTr="00807364">
        <w:trPr>
          <w:jc w:val="center"/>
        </w:trPr>
        <w:tc>
          <w:tcPr>
            <w:tcW w:w="10908" w:type="dxa"/>
            <w:tcBorders>
              <w:top w:val="single" w:sz="4" w:space="0" w:color="000000"/>
            </w:tcBorders>
            <w:shd w:val="clear" w:color="auto" w:fill="auto"/>
          </w:tcPr>
          <w:p w14:paraId="15674762" w14:textId="0DCC3B2F" w:rsidR="00E152F5" w:rsidRPr="00E152F5" w:rsidRDefault="00CD396B" w:rsidP="00E152F5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D396B">
              <w:rPr>
                <w:rFonts w:ascii="Arial" w:hAnsi="Arial" w:cs="Arial"/>
                <w:bCs/>
                <w:sz w:val="22"/>
                <w:szCs w:val="22"/>
              </w:rPr>
              <w:t xml:space="preserve">A solução mais vantajosa para a UDESC sob os aspectos da conveniência, economicidade e eficiência é a aquisição dos materiais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elétricos</w:t>
            </w:r>
            <w:r w:rsidRPr="00CD396B">
              <w:rPr>
                <w:rFonts w:ascii="Arial" w:hAnsi="Arial" w:cs="Arial"/>
                <w:bCs/>
                <w:sz w:val="22"/>
                <w:szCs w:val="22"/>
              </w:rPr>
              <w:t xml:space="preserve"> em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uma única</w:t>
            </w:r>
            <w:r w:rsidRPr="00CD396B">
              <w:rPr>
                <w:rFonts w:ascii="Arial" w:hAnsi="Arial" w:cs="Arial"/>
                <w:bCs/>
                <w:sz w:val="22"/>
                <w:szCs w:val="22"/>
              </w:rPr>
              <w:t xml:space="preserve"> licitação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para toda a Instituição</w:t>
            </w:r>
            <w:r w:rsidR="00E152F5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E152F5" w:rsidRPr="00E152F5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>por lotes</w:t>
            </w:r>
            <w:r w:rsidR="00E152F5">
              <w:rPr>
                <w:rFonts w:ascii="Arial" w:hAnsi="Arial" w:cs="Arial"/>
                <w:bCs/>
                <w:sz w:val="22"/>
                <w:szCs w:val="22"/>
              </w:rPr>
              <w:t>, a fim de permitir a</w:t>
            </w:r>
            <w:r w:rsidR="00E152F5">
              <w:t xml:space="preserve"> </w:t>
            </w:r>
            <w:r w:rsidR="00E152F5" w:rsidRPr="00E152F5">
              <w:rPr>
                <w:rFonts w:ascii="Arial" w:hAnsi="Arial" w:cs="Arial"/>
                <w:bCs/>
                <w:sz w:val="22"/>
                <w:szCs w:val="22"/>
              </w:rPr>
              <w:t>otimização do processo de aquisição, reduzindo custos administrativos e operacionais associados à condução de múltiplas licitações separadas. Ao consolidar a compra de materiais elétricos em lotes, a UDESC pode aproveitar economias de escala, obtendo melhores preços e condições comerciais devido ao aumento do volume de compra.</w:t>
            </w:r>
          </w:p>
          <w:p w14:paraId="0AC0AC3E" w14:textId="6F074526" w:rsidR="00E152F5" w:rsidRPr="00E152F5" w:rsidRDefault="00E152F5" w:rsidP="00E152F5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152F5">
              <w:rPr>
                <w:rFonts w:ascii="Arial" w:hAnsi="Arial" w:cs="Arial"/>
                <w:bCs/>
                <w:sz w:val="22"/>
                <w:szCs w:val="22"/>
              </w:rPr>
              <w:t>Além disso, a aglutinação dos itens em lotes facilita a gestão logística e o controle de qualidade dos materiais adquiridos. Com um número reduzido de fornecedores, a universidade pode monitorar mais efetivamente a entrega e a conformidade dos produtos com os requisitos especificados, garantindo que todos os itens sejam recebidos dentro dos prazos estabelecidos e atendam aos padrões de qualidade exigidos.</w:t>
            </w:r>
          </w:p>
          <w:p w14:paraId="1C9C8910" w14:textId="77777777" w:rsidR="00E152F5" w:rsidRPr="00E152F5" w:rsidRDefault="00E152F5" w:rsidP="00E152F5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152F5">
              <w:rPr>
                <w:rFonts w:ascii="Arial" w:hAnsi="Arial" w:cs="Arial"/>
                <w:bCs/>
                <w:sz w:val="22"/>
                <w:szCs w:val="22"/>
              </w:rPr>
              <w:t xml:space="preserve">A centralização da aquisição em lotes também promove a padronização dos materiais utilizados em todos os </w:t>
            </w:r>
            <w:proofErr w:type="spellStart"/>
            <w:r w:rsidRPr="00E152F5">
              <w:rPr>
                <w:rFonts w:ascii="Arial" w:hAnsi="Arial" w:cs="Arial"/>
                <w:bCs/>
                <w:sz w:val="22"/>
                <w:szCs w:val="22"/>
              </w:rPr>
              <w:t>campi</w:t>
            </w:r>
            <w:proofErr w:type="spellEnd"/>
            <w:r w:rsidRPr="00E152F5">
              <w:rPr>
                <w:rFonts w:ascii="Arial" w:hAnsi="Arial" w:cs="Arial"/>
                <w:bCs/>
                <w:sz w:val="22"/>
                <w:szCs w:val="22"/>
              </w:rPr>
              <w:t xml:space="preserve"> da UDESC, o que é crucial para a manutenção da uniformidade e da compatibilidade das instalações elétricas. A padronização simplifica os processos de manutenção e reposição de componentes, reduzindo a necessidade de manter um estoque variado de peças e facilitando a formação de equipes de manutenção familiarizadas com os produtos adquiridos.</w:t>
            </w:r>
          </w:p>
          <w:p w14:paraId="6E0B7AE5" w14:textId="77777777" w:rsidR="00E152F5" w:rsidRPr="00E152F5" w:rsidRDefault="00E152F5" w:rsidP="00E152F5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152F5">
              <w:rPr>
                <w:rFonts w:ascii="Arial" w:hAnsi="Arial" w:cs="Arial"/>
                <w:bCs/>
                <w:sz w:val="22"/>
                <w:szCs w:val="22"/>
              </w:rPr>
              <w:t>Outro benefício importante é a maior atratividade para os fornecedores. A consolidação dos itens em lotes pode atrair um número maior de fornecedores qualificados e experientes, que veem na licitação um volume de negócios mais significativo. Isso aumenta a competitividade do pregão, resultando em propostas mais vantajosas para a UDESC tanto em termos de preço quanto de qualidade.</w:t>
            </w:r>
          </w:p>
          <w:p w14:paraId="6ED3A4EF" w14:textId="77777777" w:rsidR="00E152F5" w:rsidRDefault="00E152F5" w:rsidP="00E152F5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152F5">
              <w:rPr>
                <w:rFonts w:ascii="Arial" w:hAnsi="Arial" w:cs="Arial"/>
                <w:bCs/>
                <w:sz w:val="22"/>
                <w:szCs w:val="22"/>
              </w:rPr>
              <w:t>A aglutinação também permite uma melhor negociação de condições contratuais, como prazos de entrega, garantias e serviços de suporte técnico. Com uma aquisição de maior volume, a universidade tem mais poder de barganha para exigir condições mais favoráveis que beneficiem a instituição a longo prazo.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6274E9F5" w14:textId="34096CAA" w:rsidR="00A1159A" w:rsidRPr="0046208E" w:rsidRDefault="00E152F5" w:rsidP="00E152F5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Neste cenário, a</w:t>
            </w:r>
            <w:r w:rsidR="00CD396B" w:rsidRPr="00CD396B">
              <w:rPr>
                <w:rFonts w:ascii="Arial" w:hAnsi="Arial" w:cs="Arial"/>
                <w:bCs/>
                <w:sz w:val="22"/>
                <w:szCs w:val="22"/>
              </w:rPr>
              <w:t xml:space="preserve"> UDESC providencia a pesquisa e aquisição dos materiais que atendem as peculiaridades de cada Centro de Ensino, além de atender aos Projetos, os adquire e gerencia o uso/estoque nos almoxarifados dos Centros.</w:t>
            </w:r>
          </w:p>
        </w:tc>
      </w:tr>
      <w:tr w:rsidR="00A1159A" w:rsidRPr="0046208E" w14:paraId="6BF3FC57" w14:textId="77777777" w:rsidTr="00807364">
        <w:trPr>
          <w:jc w:val="center"/>
        </w:trPr>
        <w:tc>
          <w:tcPr>
            <w:tcW w:w="10908" w:type="dxa"/>
            <w:tcBorders>
              <w:top w:val="single" w:sz="4" w:space="0" w:color="000000"/>
            </w:tcBorders>
            <w:shd w:val="clear" w:color="auto" w:fill="369B55"/>
          </w:tcPr>
          <w:p w14:paraId="4C47722D" w14:textId="77777777" w:rsidR="00A1159A" w:rsidRPr="0046208E" w:rsidRDefault="00A1159A" w:rsidP="006F62A8">
            <w:pPr>
              <w:pStyle w:val="PargrafodaLista"/>
              <w:numPr>
                <w:ilvl w:val="0"/>
                <w:numId w:val="5"/>
              </w:numPr>
              <w:ind w:left="46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Estimativa do valor da contratação (art. 18, § 1º, VI, da Lei Federal nº 14.133, de 2021).</w:t>
            </w:r>
          </w:p>
        </w:tc>
      </w:tr>
      <w:tr w:rsidR="00A1159A" w:rsidRPr="0046208E" w14:paraId="5B0BB2E2" w14:textId="77777777" w:rsidTr="00807364">
        <w:trPr>
          <w:jc w:val="center"/>
        </w:trPr>
        <w:tc>
          <w:tcPr>
            <w:tcW w:w="109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6FC7A9" w14:textId="4348BF84" w:rsidR="00330AA5" w:rsidRPr="00314E55" w:rsidRDefault="00330AA5" w:rsidP="0083099D">
            <w:pPr>
              <w:suppressAutoHyphens/>
              <w:ind w:right="-3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4E55">
              <w:rPr>
                <w:rFonts w:ascii="Arial" w:hAnsi="Arial" w:cs="Arial"/>
                <w:bCs/>
                <w:sz w:val="22"/>
                <w:szCs w:val="22"/>
              </w:rPr>
              <w:t xml:space="preserve">O custo estimado para o presente Processo que visa </w:t>
            </w:r>
            <w:r w:rsidR="00E152F5" w:rsidRPr="00314E55">
              <w:rPr>
                <w:rFonts w:ascii="Arial" w:hAnsi="Arial" w:cs="Arial"/>
                <w:bCs/>
                <w:sz w:val="22"/>
                <w:szCs w:val="22"/>
              </w:rPr>
              <w:t xml:space="preserve">o Registro de Preços para </w:t>
            </w:r>
            <w:r w:rsidRPr="00314E55">
              <w:rPr>
                <w:rFonts w:ascii="Arial" w:hAnsi="Arial" w:cs="Arial"/>
                <w:bCs/>
                <w:sz w:val="22"/>
                <w:szCs w:val="22"/>
              </w:rPr>
              <w:t xml:space="preserve">a Aquisição de </w:t>
            </w:r>
            <w:r w:rsidR="00E152F5" w:rsidRPr="00314E55">
              <w:rPr>
                <w:rFonts w:ascii="Arial" w:hAnsi="Arial" w:cs="Arial"/>
                <w:bCs/>
                <w:sz w:val="22"/>
                <w:szCs w:val="22"/>
              </w:rPr>
              <w:t>Material Elétrico para a UDESC</w:t>
            </w:r>
            <w:r w:rsidRPr="00314E55">
              <w:rPr>
                <w:rFonts w:ascii="Arial" w:hAnsi="Arial" w:cs="Arial"/>
                <w:bCs/>
                <w:sz w:val="22"/>
                <w:szCs w:val="22"/>
              </w:rPr>
              <w:t xml:space="preserve"> é de R$ </w:t>
            </w:r>
            <w:r w:rsidR="00314E55" w:rsidRPr="00314E55">
              <w:rPr>
                <w:rFonts w:ascii="Arial" w:hAnsi="Arial" w:cs="Arial"/>
                <w:bCs/>
                <w:sz w:val="22"/>
                <w:szCs w:val="22"/>
              </w:rPr>
              <w:t>4.225.603,40</w:t>
            </w:r>
            <w:r w:rsidRPr="00314E55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314E55" w:rsidRPr="00314E55">
              <w:rPr>
                <w:rFonts w:ascii="Arial" w:hAnsi="Arial" w:cs="Arial"/>
                <w:bCs/>
                <w:sz w:val="22"/>
                <w:szCs w:val="22"/>
              </w:rPr>
              <w:t>quatro milhões, duzentos e vinte e cinco mil, seiscentos e três reais e quarenta centavos</w:t>
            </w:r>
            <w:r w:rsidRPr="00314E55">
              <w:rPr>
                <w:rFonts w:ascii="Arial" w:hAnsi="Arial" w:cs="Arial"/>
                <w:bCs/>
                <w:sz w:val="22"/>
                <w:szCs w:val="22"/>
              </w:rPr>
              <w:t xml:space="preserve">), valores que refletem a realidade de mercado conforme documentação anexada (propostas, </w:t>
            </w:r>
            <w:r w:rsidR="00314E55" w:rsidRPr="00314E55">
              <w:rPr>
                <w:rFonts w:ascii="Arial" w:hAnsi="Arial" w:cs="Arial"/>
                <w:bCs/>
                <w:sz w:val="22"/>
                <w:szCs w:val="22"/>
              </w:rPr>
              <w:t xml:space="preserve">contratações anteriores pela UDESC, </w:t>
            </w:r>
            <w:r w:rsidRPr="00314E55">
              <w:rPr>
                <w:rFonts w:ascii="Arial" w:hAnsi="Arial" w:cs="Arial"/>
                <w:bCs/>
                <w:sz w:val="22"/>
                <w:szCs w:val="22"/>
              </w:rPr>
              <w:t>pesquisa de preços públicos, etc.).</w:t>
            </w:r>
          </w:p>
          <w:p w14:paraId="6D4B7529" w14:textId="77777777" w:rsidR="00330AA5" w:rsidRPr="00314E55" w:rsidRDefault="00330AA5" w:rsidP="0083099D">
            <w:pPr>
              <w:suppressAutoHyphens/>
              <w:ind w:right="-3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D54D8BE" w14:textId="15574A8B" w:rsidR="00A1159A" w:rsidRPr="00073297" w:rsidRDefault="00330AA5" w:rsidP="0083099D">
            <w:pPr>
              <w:suppressAutoHyphens/>
              <w:ind w:right="-33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314E55">
              <w:rPr>
                <w:rFonts w:ascii="Arial" w:hAnsi="Arial" w:cs="Arial"/>
                <w:bCs/>
                <w:sz w:val="22"/>
                <w:szCs w:val="22"/>
              </w:rPr>
              <w:t>Foi utilizado como método para obtenção do preço estimado a média/mediana/menor valor da pesquisa de preços realizada de acordo com a metodologia adotada na Planilha base disponibilizada pela Secretaria de Estado de Administração do Governo de Santa Catarina.</w:t>
            </w:r>
          </w:p>
        </w:tc>
      </w:tr>
      <w:tr w:rsidR="00A1159A" w:rsidRPr="0046208E" w14:paraId="5ABAA061" w14:textId="77777777" w:rsidTr="00807364">
        <w:trPr>
          <w:jc w:val="center"/>
        </w:trPr>
        <w:tc>
          <w:tcPr>
            <w:tcW w:w="10908" w:type="dxa"/>
            <w:tcBorders>
              <w:top w:val="single" w:sz="4" w:space="0" w:color="000000"/>
            </w:tcBorders>
            <w:shd w:val="clear" w:color="auto" w:fill="369B55"/>
          </w:tcPr>
          <w:p w14:paraId="6ADA7B57" w14:textId="77777777" w:rsidR="00A1159A" w:rsidRPr="0046208E" w:rsidRDefault="00A1159A" w:rsidP="006F62A8">
            <w:pPr>
              <w:pStyle w:val="PargrafodaLista"/>
              <w:numPr>
                <w:ilvl w:val="0"/>
                <w:numId w:val="5"/>
              </w:numPr>
              <w:ind w:left="46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lastRenderedPageBreak/>
              <w:t>Comparativo das soluções</w:t>
            </w:r>
          </w:p>
        </w:tc>
      </w:tr>
      <w:tr w:rsidR="00A1159A" w:rsidRPr="0046208E" w14:paraId="16D04900" w14:textId="77777777" w:rsidTr="00807364">
        <w:trPr>
          <w:jc w:val="center"/>
        </w:trPr>
        <w:tc>
          <w:tcPr>
            <w:tcW w:w="109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36BBD2" w14:textId="30F6C6F4" w:rsidR="00A1159A" w:rsidRPr="0083099D" w:rsidRDefault="009C78C3" w:rsidP="0083099D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9C78C3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Pr="009C78C3">
              <w:rPr>
                <w:rFonts w:ascii="Arial" w:hAnsi="Arial" w:cs="Arial"/>
                <w:bCs/>
                <w:sz w:val="22"/>
                <w:szCs w:val="22"/>
              </w:rPr>
              <w:t>solução atual</w:t>
            </w:r>
            <w:r w:rsidRPr="009C78C3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9C78C3">
              <w:rPr>
                <w:rFonts w:ascii="Arial" w:hAnsi="Arial" w:cs="Arial"/>
                <w:bCs/>
                <w:sz w:val="22"/>
                <w:szCs w:val="22"/>
              </w:rPr>
              <w:t>aquisição de</w:t>
            </w:r>
            <w:r w:rsidRPr="009C78C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material elétrico via Pregão sob o Sistema de Registro de Preços</w:t>
            </w:r>
            <w:r w:rsidRPr="009C78C3">
              <w:rPr>
                <w:rFonts w:ascii="Arial" w:hAnsi="Arial" w:cs="Arial"/>
                <w:bCs/>
                <w:sz w:val="22"/>
                <w:szCs w:val="22"/>
              </w:rPr>
              <w:t>, mostra-se como sendo a mais vantajosa levando em consideração a área de ensino, pesquisa e extensão da Universidade, onde alguns itens são de uso diário nos Centros, e dependendo das ações, há uma variação da quantidade que precisa estar à disposição nos estoques para o atendimento imediato das necessidades. Além do atendimento imediato das atividades administrativas, que dão suporte para que a universidade ofereça seus serviços com qualidade e em tempo hábil</w:t>
            </w:r>
            <w:r w:rsidR="0083099D" w:rsidRPr="0083099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14:paraId="4F8D3315" w14:textId="77777777" w:rsidR="001B1F72" w:rsidRPr="0046208E" w:rsidRDefault="001B1F72" w:rsidP="001B1F72">
      <w:pPr>
        <w:spacing w:line="360" w:lineRule="auto"/>
        <w:rPr>
          <w:rFonts w:ascii="Arial" w:eastAsia="Cambria" w:hAnsi="Arial" w:cs="Arial"/>
          <w:b/>
          <w:iCs/>
          <w:sz w:val="22"/>
          <w:szCs w:val="22"/>
        </w:rPr>
      </w:pPr>
    </w:p>
    <w:tbl>
      <w:tblPr>
        <w:tblW w:w="108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365F91"/>
        <w:tblLayout w:type="fixed"/>
        <w:tblLook w:val="0400" w:firstRow="0" w:lastRow="0" w:firstColumn="0" w:lastColumn="0" w:noHBand="0" w:noVBand="1"/>
      </w:tblPr>
      <w:tblGrid>
        <w:gridCol w:w="10872"/>
      </w:tblGrid>
      <w:tr w:rsidR="00BF760D" w:rsidRPr="0046208E" w14:paraId="0FA02E8A" w14:textId="77777777" w:rsidTr="00807364">
        <w:trPr>
          <w:jc w:val="center"/>
        </w:trPr>
        <w:tc>
          <w:tcPr>
            <w:tcW w:w="10872" w:type="dxa"/>
            <w:shd w:val="clear" w:color="auto" w:fill="369B55"/>
          </w:tcPr>
          <w:p w14:paraId="76ED7B4D" w14:textId="77777777" w:rsidR="00BF760D" w:rsidRPr="0046208E" w:rsidRDefault="00BF760D" w:rsidP="006C4186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IV – SOLUÇÃO ESCOLHIDA </w:t>
            </w:r>
          </w:p>
        </w:tc>
      </w:tr>
    </w:tbl>
    <w:p w14:paraId="0F261776" w14:textId="77777777" w:rsidR="00BF760D" w:rsidRPr="0046208E" w:rsidRDefault="00BF760D" w:rsidP="001B1F72">
      <w:pPr>
        <w:spacing w:line="360" w:lineRule="auto"/>
        <w:rPr>
          <w:rFonts w:ascii="Arial" w:eastAsia="Cambria" w:hAnsi="Arial" w:cs="Arial"/>
          <w:b/>
          <w:iCs/>
          <w:sz w:val="22"/>
          <w:szCs w:val="22"/>
        </w:rPr>
      </w:pPr>
    </w:p>
    <w:tbl>
      <w:tblPr>
        <w:tblW w:w="11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21"/>
      </w:tblGrid>
      <w:tr w:rsidR="001B1F72" w:rsidRPr="0046208E" w14:paraId="27026E94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</w:tcBorders>
            <w:shd w:val="clear" w:color="auto" w:fill="369B55"/>
          </w:tcPr>
          <w:p w14:paraId="435ECD9A" w14:textId="77777777" w:rsidR="001B1F72" w:rsidRPr="0046208E" w:rsidRDefault="001B1F72" w:rsidP="005051A3">
            <w:pPr>
              <w:pStyle w:val="Pargrafoda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369B55"/>
              <w:ind w:left="426"/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Descrição da solução escolhida (art. 18, § 1º, VII, da Lei Federal nº 14.133, de 2021)</w:t>
            </w:r>
          </w:p>
        </w:tc>
      </w:tr>
      <w:tr w:rsidR="001B1F72" w:rsidRPr="0046208E" w14:paraId="379C962C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</w:tcBorders>
            <w:shd w:val="clear" w:color="auto" w:fill="auto"/>
          </w:tcPr>
          <w:p w14:paraId="262BAA52" w14:textId="2A6673BD" w:rsidR="001B1F72" w:rsidRPr="00866908" w:rsidRDefault="00E26FB3" w:rsidP="0086690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26FB3">
              <w:rPr>
                <w:rFonts w:ascii="Arial" w:hAnsi="Arial" w:cs="Arial"/>
                <w:bCs/>
                <w:sz w:val="22"/>
                <w:szCs w:val="22"/>
              </w:rPr>
              <w:t xml:space="preserve">Trata-se de aquisição anual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via SRP </w:t>
            </w:r>
            <w:r w:rsidRPr="00E26FB3">
              <w:rPr>
                <w:rFonts w:ascii="Arial" w:hAnsi="Arial" w:cs="Arial"/>
                <w:bCs/>
                <w:sz w:val="22"/>
                <w:szCs w:val="22"/>
              </w:rPr>
              <w:t xml:space="preserve">de materiais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elétricos</w:t>
            </w:r>
            <w:r w:rsidRPr="00E26FB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7431DA9C" w14:textId="77777777" w:rsidR="001B1F72" w:rsidRPr="0046208E" w:rsidRDefault="001B1F7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B1F72" w:rsidRPr="0046208E" w14:paraId="017051D0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</w:tcBorders>
            <w:shd w:val="clear" w:color="auto" w:fill="369B55"/>
          </w:tcPr>
          <w:p w14:paraId="0D39E76F" w14:textId="77777777" w:rsidR="001B1F72" w:rsidRPr="0046208E" w:rsidRDefault="001B1F72" w:rsidP="006F62A8">
            <w:pPr>
              <w:pStyle w:val="PargrafodaLista"/>
              <w:numPr>
                <w:ilvl w:val="0"/>
                <w:numId w:val="5"/>
              </w:numPr>
              <w:ind w:left="426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Justificativas para o parcelamento ou não da contratação (art. 18, § 1º, VIII, da Lei Federal nº 14.133, de 2021)</w:t>
            </w:r>
          </w:p>
        </w:tc>
      </w:tr>
      <w:tr w:rsidR="001B1F72" w:rsidRPr="0046208E" w14:paraId="5CA92464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806755" w14:textId="52410EF6" w:rsidR="00866908" w:rsidRDefault="00D91E6B" w:rsidP="00866908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1E6B">
              <w:rPr>
                <w:rFonts w:ascii="Arial" w:hAnsi="Arial" w:cs="Arial"/>
                <w:sz w:val="22"/>
                <w:szCs w:val="22"/>
              </w:rPr>
              <w:t>A aglutinação realizada por esta equipe de planejamento, subscritores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91E6B">
              <w:rPr>
                <w:rFonts w:ascii="Arial" w:hAnsi="Arial" w:cs="Arial"/>
                <w:sz w:val="22"/>
                <w:szCs w:val="22"/>
              </w:rPr>
              <w:t>desta justificativa, foi realizada, após minuciosa análise, reunindo itens que habitualmente são fornecidos por empresas do mesmo ramo de atividade, visando tornar economicamente viável a competição e diante do Princípio de Economicidade ao tentar obter a proposta mais vantajosa para a Administração, mas em um nível “ótimo” possibilitará a maior competitividade possível no certame</w:t>
            </w:r>
            <w:r w:rsidR="0086690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54D2C4B" w14:textId="69CB8D39" w:rsidR="0014592C" w:rsidRPr="0046208E" w:rsidRDefault="00D91E6B" w:rsidP="00D91E6B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b/>
                <w:color w:val="4472C4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Conforme já explanado no item 6, conclui-se </w:t>
            </w:r>
            <w:r w:rsidR="0014592C" w:rsidRPr="0046208E">
              <w:rPr>
                <w:rFonts w:ascii="Arial" w:hAnsi="Arial" w:cs="Arial"/>
                <w:sz w:val="22"/>
                <w:szCs w:val="22"/>
              </w:rPr>
              <w:t xml:space="preserve">diante das peculiaridades do objeto a ser licitado, que a aglutinação em </w:t>
            </w:r>
            <w:r>
              <w:rPr>
                <w:rFonts w:ascii="Arial" w:hAnsi="Arial" w:cs="Arial"/>
                <w:sz w:val="22"/>
                <w:szCs w:val="22"/>
              </w:rPr>
              <w:t>12 Lotes</w:t>
            </w:r>
            <w:r w:rsidR="008669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592C" w:rsidRPr="0046208E">
              <w:rPr>
                <w:rFonts w:ascii="Arial" w:hAnsi="Arial" w:cs="Arial"/>
                <w:sz w:val="22"/>
                <w:szCs w:val="22"/>
              </w:rPr>
              <w:t>é a menor, melhor e mais adequada forma de parcelamento possível do objeto, diante dos Princípios de Economicidade e de Competitividade.</w:t>
            </w:r>
            <w:r w:rsidR="0014592C" w:rsidRPr="0046208E">
              <w:rPr>
                <w:rFonts w:ascii="Arial" w:hAnsi="Arial" w:cs="Arial"/>
                <w:color w:val="548DD4"/>
                <w:sz w:val="22"/>
                <w:szCs w:val="22"/>
              </w:rPr>
              <w:t xml:space="preserve"> </w:t>
            </w:r>
          </w:p>
        </w:tc>
      </w:tr>
      <w:tr w:rsidR="001B1F72" w:rsidRPr="0046208E" w14:paraId="169F53E5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</w:tcBorders>
            <w:shd w:val="clear" w:color="auto" w:fill="369B55"/>
          </w:tcPr>
          <w:p w14:paraId="5FE606CA" w14:textId="77777777" w:rsidR="001B1F72" w:rsidRPr="0046208E" w:rsidRDefault="001B1F72" w:rsidP="006F62A8">
            <w:pPr>
              <w:pStyle w:val="PargrafodaLista"/>
              <w:numPr>
                <w:ilvl w:val="0"/>
                <w:numId w:val="5"/>
              </w:numPr>
              <w:ind w:left="426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Contratações correlatas e/ou interdependentes (art. 18, § 1º, XI, da Lei Federal nº 14.133, de 2021)</w:t>
            </w:r>
          </w:p>
        </w:tc>
      </w:tr>
      <w:tr w:rsidR="001B1F72" w:rsidRPr="0046208E" w14:paraId="2B8C50F7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64653A" w14:textId="2CE4C0FA" w:rsidR="001B1F72" w:rsidRPr="00F81F22" w:rsidRDefault="00F81F22" w:rsidP="00F81F22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bCs/>
                <w:color w:val="548DD4"/>
                <w:sz w:val="22"/>
                <w:szCs w:val="22"/>
              </w:rPr>
            </w:pPr>
            <w:r w:rsidRPr="00F81F22">
              <w:rPr>
                <w:rFonts w:ascii="Arial" w:hAnsi="Arial" w:cs="Arial"/>
                <w:bCs/>
                <w:sz w:val="22"/>
                <w:szCs w:val="22"/>
              </w:rPr>
              <w:t>Não há necessidade de contratações/aquisições correlatas ou interdependentes.</w:t>
            </w:r>
          </w:p>
        </w:tc>
      </w:tr>
      <w:tr w:rsidR="001B1F72" w:rsidRPr="0046208E" w14:paraId="5A4BD717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</w:tcBorders>
            <w:shd w:val="clear" w:color="auto" w:fill="369B55"/>
          </w:tcPr>
          <w:p w14:paraId="410AE6FA" w14:textId="77777777" w:rsidR="001B1F72" w:rsidRPr="0046208E" w:rsidRDefault="001B1F72" w:rsidP="006F62A8">
            <w:pPr>
              <w:pStyle w:val="PargrafodaLista"/>
              <w:numPr>
                <w:ilvl w:val="0"/>
                <w:numId w:val="5"/>
              </w:numPr>
              <w:ind w:left="426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Providências a serem adotadas pela Administração previamente à celebração do contrato (art. 18, § 1º, X, da Lei Federal nº 14.133, de 2021)</w:t>
            </w:r>
          </w:p>
        </w:tc>
      </w:tr>
      <w:tr w:rsidR="001B1F72" w:rsidRPr="0046208E" w14:paraId="6CC24726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A2CDE9" w14:textId="39EDA6DC" w:rsidR="001B1F72" w:rsidRPr="00BE6FF8" w:rsidRDefault="00D50C42" w:rsidP="00C67260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208E">
              <w:rPr>
                <w:rFonts w:ascii="Arial" w:hAnsi="Arial" w:cs="Arial"/>
                <w:sz w:val="22"/>
                <w:szCs w:val="22"/>
              </w:rPr>
              <w:t>Foram mapeados e levados em consideração os possíveis riscos e as medidas para tratamento caso ocorram. O Mapa de risco está no arquivo anexo a este ETP.</w:t>
            </w:r>
          </w:p>
        </w:tc>
      </w:tr>
      <w:tr w:rsidR="001B1F72" w:rsidRPr="0046208E" w14:paraId="7EBABB33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</w:tcBorders>
            <w:shd w:val="clear" w:color="auto" w:fill="369B55"/>
          </w:tcPr>
          <w:p w14:paraId="74305F08" w14:textId="77777777" w:rsidR="001B1F72" w:rsidRPr="0046208E" w:rsidRDefault="001B1F72" w:rsidP="005051A3">
            <w:pPr>
              <w:pStyle w:val="Pargrafoda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369B55"/>
              <w:ind w:left="426"/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Possíveis impactos ambientais e respectivas medidas mitigadoras (art. 18, § 1º, XII, da Lei Federal nº 14.133, de 2021)</w:t>
            </w:r>
          </w:p>
        </w:tc>
      </w:tr>
      <w:tr w:rsidR="001B1F72" w:rsidRPr="0046208E" w14:paraId="5BD42EBE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</w:tcBorders>
            <w:shd w:val="clear" w:color="auto" w:fill="auto"/>
          </w:tcPr>
          <w:p w14:paraId="65BB41B2" w14:textId="0C77070A" w:rsidR="001B1F72" w:rsidRPr="0046208E" w:rsidRDefault="00265090" w:rsidP="00C67260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65090">
              <w:rPr>
                <w:rFonts w:ascii="Arial" w:hAnsi="Arial" w:cs="Arial"/>
                <w:bCs/>
                <w:sz w:val="22"/>
                <w:szCs w:val="22"/>
              </w:rPr>
              <w:t>Os critérios de sustentabilidade utilizados nesta contratação dizem respeito ao registro nos órgãos competentes –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65090">
              <w:rPr>
                <w:rFonts w:ascii="Arial" w:hAnsi="Arial" w:cs="Arial"/>
                <w:bCs/>
                <w:sz w:val="22"/>
                <w:szCs w:val="22"/>
              </w:rPr>
              <w:t>INMETRO.</w:t>
            </w:r>
          </w:p>
        </w:tc>
      </w:tr>
      <w:tr w:rsidR="001B1F72" w:rsidRPr="0046208E" w14:paraId="2D1BB5C3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</w:tcBorders>
            <w:shd w:val="clear" w:color="auto" w:fill="369B55"/>
          </w:tcPr>
          <w:p w14:paraId="76120A22" w14:textId="77777777" w:rsidR="001B1F72" w:rsidRPr="0046208E" w:rsidRDefault="001B1F72" w:rsidP="006F62A8">
            <w:pPr>
              <w:pStyle w:val="PargrafodaLista"/>
              <w:numPr>
                <w:ilvl w:val="0"/>
                <w:numId w:val="5"/>
              </w:numPr>
              <w:ind w:left="426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color w:val="FFFFFF"/>
                <w:sz w:val="22"/>
                <w:szCs w:val="22"/>
              </w:rPr>
              <w:t>Resultados pretendidos (art. 18, § 1º, IX, da Lei Federal nº 14.133, de 2021)</w:t>
            </w:r>
          </w:p>
        </w:tc>
      </w:tr>
      <w:tr w:rsidR="001B1F72" w:rsidRPr="0046208E" w14:paraId="67B32D49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AF433D" w14:textId="41F3D248" w:rsidR="001B1F72" w:rsidRPr="00C67260" w:rsidRDefault="00C67260" w:rsidP="00C67260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bCs/>
                <w:color w:val="4472C4"/>
                <w:sz w:val="22"/>
                <w:szCs w:val="22"/>
              </w:rPr>
            </w:pPr>
            <w:r w:rsidRPr="00C67260">
              <w:rPr>
                <w:rFonts w:ascii="Arial" w:hAnsi="Arial" w:cs="Arial"/>
                <w:bCs/>
                <w:sz w:val="22"/>
                <w:szCs w:val="22"/>
              </w:rPr>
              <w:t>A UDESC como um todo se beneficia direta e indiretamente com a aquisição pretendida</w:t>
            </w:r>
            <w:r w:rsidR="00265090">
              <w:rPr>
                <w:rFonts w:ascii="Arial" w:hAnsi="Arial" w:cs="Arial"/>
                <w:bCs/>
                <w:sz w:val="22"/>
                <w:szCs w:val="22"/>
              </w:rPr>
              <w:t xml:space="preserve">, de acordo com os padrões mínimos exigidos pelo INMETRO e </w:t>
            </w:r>
            <w:r w:rsidR="00265090" w:rsidRPr="00265090">
              <w:rPr>
                <w:rFonts w:ascii="Arial" w:hAnsi="Arial" w:cs="Arial"/>
                <w:bCs/>
                <w:sz w:val="22"/>
                <w:szCs w:val="22"/>
              </w:rPr>
              <w:t>dando condições para que se realizem as atividades administrativas, de ensino, pesquisa e extensão, além de fornecer materiais para projetos realizados pelos Centros de Ensino.</w:t>
            </w:r>
          </w:p>
        </w:tc>
      </w:tr>
      <w:tr w:rsidR="001B1F72" w:rsidRPr="0046208E" w14:paraId="449C0FD3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</w:tcBorders>
            <w:shd w:val="clear" w:color="auto" w:fill="369B55"/>
          </w:tcPr>
          <w:p w14:paraId="5FDD3737" w14:textId="77777777" w:rsidR="001B1F72" w:rsidRPr="0046208E" w:rsidRDefault="001B1F72" w:rsidP="006F62A8">
            <w:pPr>
              <w:pStyle w:val="PargrafodaLista"/>
              <w:numPr>
                <w:ilvl w:val="0"/>
                <w:numId w:val="5"/>
              </w:numPr>
              <w:ind w:left="426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6208E">
              <w:rPr>
                <w:rFonts w:ascii="Arial" w:hAnsi="Arial" w:cs="Arial"/>
                <w:b/>
                <w:color w:val="FFFFFF"/>
                <w:sz w:val="22"/>
                <w:szCs w:val="22"/>
              </w:rPr>
              <w:t>Posicionamento conclusivo sobre a adequação da contratação para o atendimento da necessidade a que se destina (art. 18, § 1º, XIII, da Lei Federal nº 14.133, de 2021)</w:t>
            </w:r>
          </w:p>
        </w:tc>
      </w:tr>
      <w:tr w:rsidR="001B1F72" w:rsidRPr="0046208E" w14:paraId="4C6D253C" w14:textId="77777777" w:rsidTr="00807364">
        <w:trPr>
          <w:jc w:val="center"/>
        </w:trPr>
        <w:tc>
          <w:tcPr>
            <w:tcW w:w="11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708362" w14:textId="213F48F1" w:rsidR="001B1F72" w:rsidRPr="00C67260" w:rsidRDefault="00C67260" w:rsidP="00C67260">
            <w:pPr>
              <w:suppressAutoHyphens/>
              <w:spacing w:after="120"/>
              <w:ind w:right="-33"/>
              <w:jc w:val="both"/>
              <w:rPr>
                <w:rFonts w:ascii="Arial" w:hAnsi="Arial" w:cs="Arial"/>
                <w:bCs/>
                <w:color w:val="548DD4"/>
                <w:sz w:val="22"/>
                <w:szCs w:val="22"/>
              </w:rPr>
            </w:pPr>
            <w:r w:rsidRPr="00C67260">
              <w:rPr>
                <w:rFonts w:ascii="Arial" w:hAnsi="Arial" w:cs="Arial"/>
                <w:bCs/>
                <w:sz w:val="22"/>
                <w:szCs w:val="22"/>
              </w:rPr>
              <w:t xml:space="preserve">Esta equipe de Planejamento declara viável esta aquisição, por considerar imprescindível aquisição de </w:t>
            </w:r>
            <w:r w:rsidR="00265090">
              <w:rPr>
                <w:rFonts w:ascii="Arial" w:hAnsi="Arial" w:cs="Arial"/>
                <w:bCs/>
                <w:sz w:val="22"/>
                <w:szCs w:val="22"/>
              </w:rPr>
              <w:t>materiais elétricos</w:t>
            </w:r>
            <w:r w:rsidRPr="00C672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65090" w:rsidRPr="00265090">
              <w:rPr>
                <w:rFonts w:ascii="Arial" w:hAnsi="Arial" w:cs="Arial"/>
                <w:bCs/>
                <w:sz w:val="22"/>
                <w:szCs w:val="22"/>
              </w:rPr>
              <w:t>promovendo a oferta de insumos para auxiliar o ensino, pesquisa e extensão, além das atividades administrativas.</w:t>
            </w:r>
          </w:p>
        </w:tc>
      </w:tr>
    </w:tbl>
    <w:p w14:paraId="123A5873" w14:textId="77777777" w:rsidR="00C5528B" w:rsidRPr="0046208E" w:rsidRDefault="00C5528B" w:rsidP="00E40B26">
      <w:pPr>
        <w:spacing w:line="360" w:lineRule="auto"/>
        <w:ind w:left="2268"/>
        <w:jc w:val="both"/>
        <w:rPr>
          <w:rFonts w:ascii="Arial" w:eastAsia="Arial" w:hAnsi="Arial" w:cs="Arial"/>
          <w:color w:val="C00000"/>
          <w:sz w:val="22"/>
          <w:szCs w:val="22"/>
        </w:rPr>
      </w:pPr>
    </w:p>
    <w:p w14:paraId="635FEB99" w14:textId="77777777" w:rsidR="00C5528B" w:rsidRPr="0046208E" w:rsidRDefault="00C5528B" w:rsidP="00E40B26">
      <w:pPr>
        <w:spacing w:line="360" w:lineRule="auto"/>
        <w:ind w:left="2268"/>
        <w:jc w:val="both"/>
        <w:rPr>
          <w:rFonts w:ascii="Arial" w:eastAsia="Arial" w:hAnsi="Arial" w:cs="Arial"/>
          <w:color w:val="C00000"/>
          <w:sz w:val="22"/>
          <w:szCs w:val="22"/>
        </w:rPr>
      </w:pPr>
    </w:p>
    <w:p w14:paraId="1994B3B5" w14:textId="77777777" w:rsidR="00C5528B" w:rsidRPr="0046208E" w:rsidRDefault="00C5528B" w:rsidP="00E40B26">
      <w:pPr>
        <w:spacing w:line="360" w:lineRule="auto"/>
        <w:ind w:left="2268"/>
        <w:jc w:val="both"/>
        <w:rPr>
          <w:rFonts w:ascii="Arial" w:eastAsia="Arial" w:hAnsi="Arial" w:cs="Arial"/>
          <w:color w:val="C00000"/>
          <w:sz w:val="22"/>
          <w:szCs w:val="22"/>
        </w:rPr>
      </w:pPr>
    </w:p>
    <w:p w14:paraId="78BEED1C" w14:textId="77777777" w:rsidR="00C5528B" w:rsidRPr="0046208E" w:rsidRDefault="00C5528B" w:rsidP="00BF760D">
      <w:pPr>
        <w:spacing w:line="360" w:lineRule="auto"/>
        <w:ind w:left="2268"/>
        <w:jc w:val="both"/>
        <w:rPr>
          <w:rFonts w:ascii="Arial" w:eastAsia="Arial" w:hAnsi="Arial" w:cs="Arial"/>
          <w:color w:val="C00000"/>
          <w:sz w:val="22"/>
          <w:szCs w:val="22"/>
        </w:rPr>
      </w:pPr>
    </w:p>
    <w:sectPr w:rsidR="00C5528B" w:rsidRPr="0046208E" w:rsidSect="006D7789">
      <w:headerReference w:type="default" r:id="rId13"/>
      <w:footerReference w:type="default" r:id="rId14"/>
      <w:pgSz w:w="11906" w:h="16838" w:code="9"/>
      <w:pgMar w:top="1276" w:right="1134" w:bottom="1418" w:left="1134" w:header="426" w:footer="283" w:gutter="0"/>
      <w:pgBorders w:display="firstPage" w:offsetFrom="page">
        <w:top w:val="single" w:sz="6" w:space="24" w:color="595959"/>
        <w:left w:val="single" w:sz="6" w:space="24" w:color="595959"/>
        <w:bottom w:val="single" w:sz="6" w:space="24" w:color="595959"/>
        <w:right w:val="single" w:sz="6" w:space="24" w:color="595959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B07AF" w14:textId="77777777" w:rsidR="00D27AD3" w:rsidRDefault="00D27AD3">
      <w:r>
        <w:separator/>
      </w:r>
    </w:p>
  </w:endnote>
  <w:endnote w:type="continuationSeparator" w:id="0">
    <w:p w14:paraId="07278D23" w14:textId="77777777" w:rsidR="00D27AD3" w:rsidRDefault="00D27AD3">
      <w:r>
        <w:continuationSeparator/>
      </w:r>
    </w:p>
  </w:endnote>
  <w:endnote w:type="continuationNotice" w:id="1">
    <w:p w14:paraId="2077B3C8" w14:textId="77777777" w:rsidR="00D27AD3" w:rsidRDefault="00D27A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996F" w14:textId="77777777" w:rsidR="005051A3" w:rsidRDefault="005051A3" w:rsidP="005051A3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22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B3A84" w14:textId="77777777" w:rsidR="00D27AD3" w:rsidRDefault="00D27AD3">
      <w:r>
        <w:separator/>
      </w:r>
    </w:p>
  </w:footnote>
  <w:footnote w:type="continuationSeparator" w:id="0">
    <w:p w14:paraId="2E2B4998" w14:textId="77777777" w:rsidR="00D27AD3" w:rsidRDefault="00D27AD3">
      <w:r>
        <w:continuationSeparator/>
      </w:r>
    </w:p>
  </w:footnote>
  <w:footnote w:type="continuationNotice" w:id="1">
    <w:p w14:paraId="68ABCE74" w14:textId="77777777" w:rsidR="00D27AD3" w:rsidRDefault="00D27A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Layout w:type="fixed"/>
      <w:tblLook w:val="06A0" w:firstRow="1" w:lastRow="0" w:firstColumn="1" w:lastColumn="0" w:noHBand="1" w:noVBand="1"/>
    </w:tblPr>
    <w:tblGrid>
      <w:gridCol w:w="7621"/>
      <w:gridCol w:w="1134"/>
      <w:gridCol w:w="1701"/>
    </w:tblGrid>
    <w:tr w:rsidR="00073ECF" w14:paraId="7C8A28BE" w14:textId="77777777" w:rsidTr="00A95F17">
      <w:tc>
        <w:tcPr>
          <w:tcW w:w="7621" w:type="dxa"/>
        </w:tcPr>
        <w:p w14:paraId="3DD77C00" w14:textId="6E2E1AEA" w:rsidR="00073ECF" w:rsidRDefault="00B93BE2" w:rsidP="00A02383">
          <w:pPr>
            <w:tabs>
              <w:tab w:val="left" w:pos="10800"/>
            </w:tabs>
            <w:jc w:val="both"/>
          </w:pPr>
          <w:r w:rsidRPr="00A02383">
            <w:rPr>
              <w:noProof/>
              <w:sz w:val="20"/>
              <w:szCs w:val="20"/>
            </w:rPr>
            <w:drawing>
              <wp:inline distT="0" distB="0" distL="0" distR="0" wp14:anchorId="2F752010" wp14:editId="0AD02528">
                <wp:extent cx="1333500" cy="542925"/>
                <wp:effectExtent l="0" t="0" r="0" b="0"/>
                <wp:docPr id="1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</w:tcPr>
        <w:p w14:paraId="0EBCE3BF" w14:textId="77777777" w:rsidR="00073ECF" w:rsidRDefault="00073ECF" w:rsidP="0FBCA0F2">
          <w:pPr>
            <w:pStyle w:val="Cabealho"/>
            <w:jc w:val="center"/>
          </w:pPr>
        </w:p>
      </w:tc>
      <w:tc>
        <w:tcPr>
          <w:tcW w:w="1701" w:type="dxa"/>
        </w:tcPr>
        <w:p w14:paraId="7F79BE65" w14:textId="77777777" w:rsidR="00073ECF" w:rsidRDefault="00073ECF" w:rsidP="0FBCA0F2">
          <w:pPr>
            <w:pStyle w:val="Cabealho"/>
            <w:ind w:right="-115"/>
            <w:jc w:val="right"/>
          </w:pPr>
        </w:p>
      </w:tc>
    </w:tr>
  </w:tbl>
  <w:p w14:paraId="5B49EB32" w14:textId="77777777" w:rsidR="00073ECF" w:rsidRDefault="00073ECF" w:rsidP="0FBCA0F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D7288"/>
    <w:multiLevelType w:val="multilevel"/>
    <w:tmpl w:val="7EA85FE6"/>
    <w:lvl w:ilvl="0">
      <w:start w:val="1"/>
      <w:numFmt w:val="decimal"/>
      <w:lvlText w:val="%1."/>
      <w:lvlJc w:val="left"/>
      <w:rPr>
        <w:rFonts w:ascii="Calibri" w:hAnsi="Calibri" w:hint="default"/>
        <w:b/>
        <w:color w:val="FFFFF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A4F38"/>
    <w:multiLevelType w:val="multilevel"/>
    <w:tmpl w:val="BAB2B180"/>
    <w:lvl w:ilvl="0">
      <w:start w:val="1"/>
      <w:numFmt w:val="decimal"/>
      <w:lvlText w:val="%1."/>
      <w:lvlJc w:val="left"/>
      <w:rPr>
        <w:rFonts w:ascii="Calibri" w:hAnsi="Calibri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F6349"/>
    <w:multiLevelType w:val="hybridMultilevel"/>
    <w:tmpl w:val="9A647BBC"/>
    <w:lvl w:ilvl="0" w:tplc="80EEB4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C16E7"/>
    <w:multiLevelType w:val="hybridMultilevel"/>
    <w:tmpl w:val="61CC51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291EF6"/>
    <w:multiLevelType w:val="hybridMultilevel"/>
    <w:tmpl w:val="D6FE5E52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revisionView w:inkAnnotations="0"/>
  <w:documentProtection w:edit="forms" w:enforcement="0"/>
  <w:defaultTabStop w:val="720"/>
  <w:hyphenationZone w:val="425"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22"/>
    <w:rsid w:val="00006B7F"/>
    <w:rsid w:val="000114F5"/>
    <w:rsid w:val="00012B85"/>
    <w:rsid w:val="0002525F"/>
    <w:rsid w:val="00026EC7"/>
    <w:rsid w:val="00031C70"/>
    <w:rsid w:val="00040377"/>
    <w:rsid w:val="000507D6"/>
    <w:rsid w:val="0005700E"/>
    <w:rsid w:val="00063D6E"/>
    <w:rsid w:val="0006407E"/>
    <w:rsid w:val="00067984"/>
    <w:rsid w:val="00070E4E"/>
    <w:rsid w:val="00073297"/>
    <w:rsid w:val="00073ECF"/>
    <w:rsid w:val="00082D22"/>
    <w:rsid w:val="00086AFA"/>
    <w:rsid w:val="00087F22"/>
    <w:rsid w:val="00093870"/>
    <w:rsid w:val="000A33A1"/>
    <w:rsid w:val="000A4597"/>
    <w:rsid w:val="000A5AFF"/>
    <w:rsid w:val="000A5CE3"/>
    <w:rsid w:val="000B1D5E"/>
    <w:rsid w:val="000B4A4C"/>
    <w:rsid w:val="000D6C93"/>
    <w:rsid w:val="000E184D"/>
    <w:rsid w:val="000E488B"/>
    <w:rsid w:val="000E6669"/>
    <w:rsid w:val="000F07A9"/>
    <w:rsid w:val="001034EB"/>
    <w:rsid w:val="00103EB6"/>
    <w:rsid w:val="00105A2D"/>
    <w:rsid w:val="00114F79"/>
    <w:rsid w:val="00115DD8"/>
    <w:rsid w:val="00117F6C"/>
    <w:rsid w:val="00120A35"/>
    <w:rsid w:val="00120DA1"/>
    <w:rsid w:val="00121430"/>
    <w:rsid w:val="001257DA"/>
    <w:rsid w:val="00126081"/>
    <w:rsid w:val="00126BF0"/>
    <w:rsid w:val="001431B0"/>
    <w:rsid w:val="0014592C"/>
    <w:rsid w:val="00150A2F"/>
    <w:rsid w:val="001537A4"/>
    <w:rsid w:val="00160A48"/>
    <w:rsid w:val="00161C7A"/>
    <w:rsid w:val="0016615C"/>
    <w:rsid w:val="00166495"/>
    <w:rsid w:val="00176C14"/>
    <w:rsid w:val="001827D4"/>
    <w:rsid w:val="0018736A"/>
    <w:rsid w:val="001911E3"/>
    <w:rsid w:val="001933CA"/>
    <w:rsid w:val="00196DE0"/>
    <w:rsid w:val="001A0B49"/>
    <w:rsid w:val="001A6AD6"/>
    <w:rsid w:val="001A6DCF"/>
    <w:rsid w:val="001B1F72"/>
    <w:rsid w:val="001C057F"/>
    <w:rsid w:val="001C4E76"/>
    <w:rsid w:val="001D5F9C"/>
    <w:rsid w:val="001E2F49"/>
    <w:rsid w:val="001E7A8A"/>
    <w:rsid w:val="001F43E8"/>
    <w:rsid w:val="001F54D2"/>
    <w:rsid w:val="0020180D"/>
    <w:rsid w:val="0021043F"/>
    <w:rsid w:val="002109BB"/>
    <w:rsid w:val="00211C55"/>
    <w:rsid w:val="00213541"/>
    <w:rsid w:val="00234A12"/>
    <w:rsid w:val="00235D92"/>
    <w:rsid w:val="0024160A"/>
    <w:rsid w:val="002524A3"/>
    <w:rsid w:val="0025739C"/>
    <w:rsid w:val="00265090"/>
    <w:rsid w:val="002724B6"/>
    <w:rsid w:val="00276649"/>
    <w:rsid w:val="00280B00"/>
    <w:rsid w:val="00282625"/>
    <w:rsid w:val="0028746E"/>
    <w:rsid w:val="00290D7E"/>
    <w:rsid w:val="00293ECC"/>
    <w:rsid w:val="002A2BF2"/>
    <w:rsid w:val="002A5B73"/>
    <w:rsid w:val="002B4B49"/>
    <w:rsid w:val="002B630C"/>
    <w:rsid w:val="002B647B"/>
    <w:rsid w:val="002C282C"/>
    <w:rsid w:val="002C7943"/>
    <w:rsid w:val="002D1AC2"/>
    <w:rsid w:val="002D4F80"/>
    <w:rsid w:val="002E52BC"/>
    <w:rsid w:val="002E78F3"/>
    <w:rsid w:val="002F036E"/>
    <w:rsid w:val="002F1AAF"/>
    <w:rsid w:val="00303606"/>
    <w:rsid w:val="00303DFB"/>
    <w:rsid w:val="003058E2"/>
    <w:rsid w:val="003116EB"/>
    <w:rsid w:val="00311773"/>
    <w:rsid w:val="00313BED"/>
    <w:rsid w:val="00314E55"/>
    <w:rsid w:val="003179B5"/>
    <w:rsid w:val="00324F4E"/>
    <w:rsid w:val="003266F7"/>
    <w:rsid w:val="00326C7B"/>
    <w:rsid w:val="00330AA5"/>
    <w:rsid w:val="0033147A"/>
    <w:rsid w:val="00331BCA"/>
    <w:rsid w:val="00337139"/>
    <w:rsid w:val="00341EB7"/>
    <w:rsid w:val="00342BDE"/>
    <w:rsid w:val="00360001"/>
    <w:rsid w:val="00361771"/>
    <w:rsid w:val="003627EB"/>
    <w:rsid w:val="00366F49"/>
    <w:rsid w:val="003761A7"/>
    <w:rsid w:val="00381B85"/>
    <w:rsid w:val="003A0A95"/>
    <w:rsid w:val="003A1324"/>
    <w:rsid w:val="003B19DD"/>
    <w:rsid w:val="003B3A1D"/>
    <w:rsid w:val="003B5DD2"/>
    <w:rsid w:val="003B6D4F"/>
    <w:rsid w:val="003B742B"/>
    <w:rsid w:val="003C796F"/>
    <w:rsid w:val="003D4E4A"/>
    <w:rsid w:val="003D5EDF"/>
    <w:rsid w:val="003E5615"/>
    <w:rsid w:val="003E57E6"/>
    <w:rsid w:val="003E728E"/>
    <w:rsid w:val="003F183E"/>
    <w:rsid w:val="003F5237"/>
    <w:rsid w:val="00414032"/>
    <w:rsid w:val="0041455C"/>
    <w:rsid w:val="004166D5"/>
    <w:rsid w:val="00420C08"/>
    <w:rsid w:val="00427549"/>
    <w:rsid w:val="0043276D"/>
    <w:rsid w:val="00432D7F"/>
    <w:rsid w:val="004418D8"/>
    <w:rsid w:val="00446DB5"/>
    <w:rsid w:val="00453A99"/>
    <w:rsid w:val="00460BD8"/>
    <w:rsid w:val="0046208E"/>
    <w:rsid w:val="00466CCA"/>
    <w:rsid w:val="00470F1E"/>
    <w:rsid w:val="00475F45"/>
    <w:rsid w:val="004800CB"/>
    <w:rsid w:val="00482A58"/>
    <w:rsid w:val="00487CC9"/>
    <w:rsid w:val="00494508"/>
    <w:rsid w:val="004968CF"/>
    <w:rsid w:val="004A32B6"/>
    <w:rsid w:val="004B186F"/>
    <w:rsid w:val="004B2BE1"/>
    <w:rsid w:val="004B3C7C"/>
    <w:rsid w:val="004B43F3"/>
    <w:rsid w:val="004C33F2"/>
    <w:rsid w:val="004C65E3"/>
    <w:rsid w:val="004C761B"/>
    <w:rsid w:val="004D2A64"/>
    <w:rsid w:val="004E5FDC"/>
    <w:rsid w:val="004F3A8B"/>
    <w:rsid w:val="004F41D1"/>
    <w:rsid w:val="00504C7D"/>
    <w:rsid w:val="005051A3"/>
    <w:rsid w:val="00510BA7"/>
    <w:rsid w:val="005228AD"/>
    <w:rsid w:val="0052523E"/>
    <w:rsid w:val="00532E48"/>
    <w:rsid w:val="00535476"/>
    <w:rsid w:val="00535765"/>
    <w:rsid w:val="005433B2"/>
    <w:rsid w:val="00553FE9"/>
    <w:rsid w:val="005552B8"/>
    <w:rsid w:val="00570747"/>
    <w:rsid w:val="005713FD"/>
    <w:rsid w:val="005861CD"/>
    <w:rsid w:val="00586AE4"/>
    <w:rsid w:val="005870EA"/>
    <w:rsid w:val="00591F44"/>
    <w:rsid w:val="00592353"/>
    <w:rsid w:val="00592BBD"/>
    <w:rsid w:val="00593882"/>
    <w:rsid w:val="005A746D"/>
    <w:rsid w:val="005B7B33"/>
    <w:rsid w:val="005C267F"/>
    <w:rsid w:val="005C2BBE"/>
    <w:rsid w:val="005C2DF3"/>
    <w:rsid w:val="005D6BEE"/>
    <w:rsid w:val="005D72AC"/>
    <w:rsid w:val="005E259F"/>
    <w:rsid w:val="005E5B30"/>
    <w:rsid w:val="005E5BF0"/>
    <w:rsid w:val="005F29DD"/>
    <w:rsid w:val="005F3435"/>
    <w:rsid w:val="005F7C8C"/>
    <w:rsid w:val="0060192E"/>
    <w:rsid w:val="00603024"/>
    <w:rsid w:val="00603822"/>
    <w:rsid w:val="00606AE4"/>
    <w:rsid w:val="00612416"/>
    <w:rsid w:val="00612B45"/>
    <w:rsid w:val="006139AB"/>
    <w:rsid w:val="00615E23"/>
    <w:rsid w:val="006204B9"/>
    <w:rsid w:val="00634D77"/>
    <w:rsid w:val="00645CF7"/>
    <w:rsid w:val="00656D8A"/>
    <w:rsid w:val="006625C6"/>
    <w:rsid w:val="006662AE"/>
    <w:rsid w:val="00684D9B"/>
    <w:rsid w:val="00686413"/>
    <w:rsid w:val="00690286"/>
    <w:rsid w:val="00690B1E"/>
    <w:rsid w:val="006953E7"/>
    <w:rsid w:val="00695CBD"/>
    <w:rsid w:val="006A6725"/>
    <w:rsid w:val="006A6BE2"/>
    <w:rsid w:val="006B08B4"/>
    <w:rsid w:val="006B23F2"/>
    <w:rsid w:val="006B68AD"/>
    <w:rsid w:val="006C1F9D"/>
    <w:rsid w:val="006C3875"/>
    <w:rsid w:val="006C4186"/>
    <w:rsid w:val="006D20FE"/>
    <w:rsid w:val="006D619F"/>
    <w:rsid w:val="006D7789"/>
    <w:rsid w:val="006E7141"/>
    <w:rsid w:val="006E76AA"/>
    <w:rsid w:val="006F62A8"/>
    <w:rsid w:val="006F75BB"/>
    <w:rsid w:val="00701558"/>
    <w:rsid w:val="0072091A"/>
    <w:rsid w:val="007233A6"/>
    <w:rsid w:val="00733D1B"/>
    <w:rsid w:val="00736FD6"/>
    <w:rsid w:val="00744DD4"/>
    <w:rsid w:val="00744FD9"/>
    <w:rsid w:val="00760B45"/>
    <w:rsid w:val="00764642"/>
    <w:rsid w:val="00770834"/>
    <w:rsid w:val="007710BE"/>
    <w:rsid w:val="007729B1"/>
    <w:rsid w:val="00773C07"/>
    <w:rsid w:val="00776245"/>
    <w:rsid w:val="00781F3B"/>
    <w:rsid w:val="00783136"/>
    <w:rsid w:val="00784D5F"/>
    <w:rsid w:val="00791B8C"/>
    <w:rsid w:val="007921C5"/>
    <w:rsid w:val="0079696F"/>
    <w:rsid w:val="007A2B21"/>
    <w:rsid w:val="007A4A7E"/>
    <w:rsid w:val="007B1EDB"/>
    <w:rsid w:val="007B7617"/>
    <w:rsid w:val="007C3CFC"/>
    <w:rsid w:val="007C45DC"/>
    <w:rsid w:val="007D5BEF"/>
    <w:rsid w:val="007E0F92"/>
    <w:rsid w:val="007E270F"/>
    <w:rsid w:val="007E3B32"/>
    <w:rsid w:val="007E46CB"/>
    <w:rsid w:val="007E6EE4"/>
    <w:rsid w:val="007F1FA8"/>
    <w:rsid w:val="007F3811"/>
    <w:rsid w:val="007F44CB"/>
    <w:rsid w:val="0080476F"/>
    <w:rsid w:val="00807364"/>
    <w:rsid w:val="00811FFF"/>
    <w:rsid w:val="008272A1"/>
    <w:rsid w:val="0083099D"/>
    <w:rsid w:val="0083229B"/>
    <w:rsid w:val="00864C87"/>
    <w:rsid w:val="00866908"/>
    <w:rsid w:val="00866B03"/>
    <w:rsid w:val="008854B9"/>
    <w:rsid w:val="00886FA3"/>
    <w:rsid w:val="00890813"/>
    <w:rsid w:val="00893EC8"/>
    <w:rsid w:val="0089573E"/>
    <w:rsid w:val="008A3377"/>
    <w:rsid w:val="008A6FFE"/>
    <w:rsid w:val="008A70CB"/>
    <w:rsid w:val="008B0B90"/>
    <w:rsid w:val="008B23E2"/>
    <w:rsid w:val="008B3382"/>
    <w:rsid w:val="008C4486"/>
    <w:rsid w:val="008C60BF"/>
    <w:rsid w:val="008C7158"/>
    <w:rsid w:val="008E4519"/>
    <w:rsid w:val="008E51E0"/>
    <w:rsid w:val="008E7E39"/>
    <w:rsid w:val="008F1771"/>
    <w:rsid w:val="008F27DE"/>
    <w:rsid w:val="0090081F"/>
    <w:rsid w:val="00900EDA"/>
    <w:rsid w:val="00903F89"/>
    <w:rsid w:val="009065D0"/>
    <w:rsid w:val="00917A89"/>
    <w:rsid w:val="00933EC1"/>
    <w:rsid w:val="00941BBE"/>
    <w:rsid w:val="00947DA6"/>
    <w:rsid w:val="00960BC4"/>
    <w:rsid w:val="0096260D"/>
    <w:rsid w:val="00967A02"/>
    <w:rsid w:val="009768A7"/>
    <w:rsid w:val="00983C03"/>
    <w:rsid w:val="00990671"/>
    <w:rsid w:val="009914D3"/>
    <w:rsid w:val="00995C3C"/>
    <w:rsid w:val="009A12B6"/>
    <w:rsid w:val="009A1B46"/>
    <w:rsid w:val="009A33D2"/>
    <w:rsid w:val="009A5C74"/>
    <w:rsid w:val="009A6B3C"/>
    <w:rsid w:val="009B47E4"/>
    <w:rsid w:val="009B6262"/>
    <w:rsid w:val="009C1A97"/>
    <w:rsid w:val="009C4517"/>
    <w:rsid w:val="009C486B"/>
    <w:rsid w:val="009C78C3"/>
    <w:rsid w:val="009D196B"/>
    <w:rsid w:val="009D683E"/>
    <w:rsid w:val="009E1310"/>
    <w:rsid w:val="009E3015"/>
    <w:rsid w:val="009E53C3"/>
    <w:rsid w:val="009F467A"/>
    <w:rsid w:val="00A02383"/>
    <w:rsid w:val="00A02C43"/>
    <w:rsid w:val="00A1159A"/>
    <w:rsid w:val="00A1334F"/>
    <w:rsid w:val="00A162A8"/>
    <w:rsid w:val="00A24689"/>
    <w:rsid w:val="00A25615"/>
    <w:rsid w:val="00A3021A"/>
    <w:rsid w:val="00A403B0"/>
    <w:rsid w:val="00A41B9E"/>
    <w:rsid w:val="00A5059C"/>
    <w:rsid w:val="00A552F1"/>
    <w:rsid w:val="00A56071"/>
    <w:rsid w:val="00A64EBD"/>
    <w:rsid w:val="00A65192"/>
    <w:rsid w:val="00A669E4"/>
    <w:rsid w:val="00A70C67"/>
    <w:rsid w:val="00A74584"/>
    <w:rsid w:val="00A85131"/>
    <w:rsid w:val="00A86659"/>
    <w:rsid w:val="00A871A3"/>
    <w:rsid w:val="00A87791"/>
    <w:rsid w:val="00A9272E"/>
    <w:rsid w:val="00A940FA"/>
    <w:rsid w:val="00A94263"/>
    <w:rsid w:val="00A95F17"/>
    <w:rsid w:val="00A965EA"/>
    <w:rsid w:val="00AA559C"/>
    <w:rsid w:val="00AB054A"/>
    <w:rsid w:val="00AB4696"/>
    <w:rsid w:val="00AC3137"/>
    <w:rsid w:val="00AD3E64"/>
    <w:rsid w:val="00AE131D"/>
    <w:rsid w:val="00AE2F75"/>
    <w:rsid w:val="00AE4017"/>
    <w:rsid w:val="00AE46C7"/>
    <w:rsid w:val="00AF0355"/>
    <w:rsid w:val="00AF084E"/>
    <w:rsid w:val="00AF1DB5"/>
    <w:rsid w:val="00AF7907"/>
    <w:rsid w:val="00B03D7A"/>
    <w:rsid w:val="00B05714"/>
    <w:rsid w:val="00B06900"/>
    <w:rsid w:val="00B144CD"/>
    <w:rsid w:val="00B162BF"/>
    <w:rsid w:val="00B27D0F"/>
    <w:rsid w:val="00B27F20"/>
    <w:rsid w:val="00B40B74"/>
    <w:rsid w:val="00B41345"/>
    <w:rsid w:val="00B470C6"/>
    <w:rsid w:val="00B51D22"/>
    <w:rsid w:val="00B52EEB"/>
    <w:rsid w:val="00B56964"/>
    <w:rsid w:val="00B65F71"/>
    <w:rsid w:val="00B66B4E"/>
    <w:rsid w:val="00B90B86"/>
    <w:rsid w:val="00B93823"/>
    <w:rsid w:val="00B93BE2"/>
    <w:rsid w:val="00BA02E9"/>
    <w:rsid w:val="00BA24A7"/>
    <w:rsid w:val="00BA5AEE"/>
    <w:rsid w:val="00BB0425"/>
    <w:rsid w:val="00BD007B"/>
    <w:rsid w:val="00BD270E"/>
    <w:rsid w:val="00BD389E"/>
    <w:rsid w:val="00BD3E5C"/>
    <w:rsid w:val="00BD486C"/>
    <w:rsid w:val="00BD6A9F"/>
    <w:rsid w:val="00BE6FF8"/>
    <w:rsid w:val="00BE779F"/>
    <w:rsid w:val="00BF1098"/>
    <w:rsid w:val="00BF2391"/>
    <w:rsid w:val="00BF422D"/>
    <w:rsid w:val="00BF760D"/>
    <w:rsid w:val="00C12E6A"/>
    <w:rsid w:val="00C216D8"/>
    <w:rsid w:val="00C318CE"/>
    <w:rsid w:val="00C46B1B"/>
    <w:rsid w:val="00C5528B"/>
    <w:rsid w:val="00C6411D"/>
    <w:rsid w:val="00C6448A"/>
    <w:rsid w:val="00C67260"/>
    <w:rsid w:val="00C74C2F"/>
    <w:rsid w:val="00C82468"/>
    <w:rsid w:val="00C85223"/>
    <w:rsid w:val="00C8622C"/>
    <w:rsid w:val="00C87DD4"/>
    <w:rsid w:val="00C90DB0"/>
    <w:rsid w:val="00C97876"/>
    <w:rsid w:val="00C97C01"/>
    <w:rsid w:val="00CA17F7"/>
    <w:rsid w:val="00CB14AF"/>
    <w:rsid w:val="00CB206D"/>
    <w:rsid w:val="00CB247D"/>
    <w:rsid w:val="00CB3D83"/>
    <w:rsid w:val="00CB6090"/>
    <w:rsid w:val="00CC00F6"/>
    <w:rsid w:val="00CC438A"/>
    <w:rsid w:val="00CC6A1F"/>
    <w:rsid w:val="00CD396B"/>
    <w:rsid w:val="00CD4613"/>
    <w:rsid w:val="00CF312F"/>
    <w:rsid w:val="00CF378C"/>
    <w:rsid w:val="00D01BF5"/>
    <w:rsid w:val="00D0262B"/>
    <w:rsid w:val="00D075B6"/>
    <w:rsid w:val="00D126B9"/>
    <w:rsid w:val="00D20B83"/>
    <w:rsid w:val="00D2217D"/>
    <w:rsid w:val="00D22F5C"/>
    <w:rsid w:val="00D2428E"/>
    <w:rsid w:val="00D27AD3"/>
    <w:rsid w:val="00D41DAA"/>
    <w:rsid w:val="00D47FF7"/>
    <w:rsid w:val="00D50683"/>
    <w:rsid w:val="00D50C42"/>
    <w:rsid w:val="00D554EC"/>
    <w:rsid w:val="00D7530E"/>
    <w:rsid w:val="00D75D12"/>
    <w:rsid w:val="00D804A6"/>
    <w:rsid w:val="00D82CF0"/>
    <w:rsid w:val="00D82FF2"/>
    <w:rsid w:val="00D83D2B"/>
    <w:rsid w:val="00D9170D"/>
    <w:rsid w:val="00D91E6B"/>
    <w:rsid w:val="00D925E7"/>
    <w:rsid w:val="00DA060A"/>
    <w:rsid w:val="00DA216F"/>
    <w:rsid w:val="00DA4891"/>
    <w:rsid w:val="00DA5BD8"/>
    <w:rsid w:val="00DA6058"/>
    <w:rsid w:val="00DA6E8F"/>
    <w:rsid w:val="00DA7B6D"/>
    <w:rsid w:val="00DB32CB"/>
    <w:rsid w:val="00DB7DEE"/>
    <w:rsid w:val="00DC7228"/>
    <w:rsid w:val="00DD6976"/>
    <w:rsid w:val="00DE2403"/>
    <w:rsid w:val="00DE5F9F"/>
    <w:rsid w:val="00DE7D86"/>
    <w:rsid w:val="00DF0FEE"/>
    <w:rsid w:val="00DF1D76"/>
    <w:rsid w:val="00DF29CD"/>
    <w:rsid w:val="00DF5537"/>
    <w:rsid w:val="00E06131"/>
    <w:rsid w:val="00E07572"/>
    <w:rsid w:val="00E148E3"/>
    <w:rsid w:val="00E152F5"/>
    <w:rsid w:val="00E17875"/>
    <w:rsid w:val="00E17C22"/>
    <w:rsid w:val="00E23EF8"/>
    <w:rsid w:val="00E25BC0"/>
    <w:rsid w:val="00E26FB3"/>
    <w:rsid w:val="00E30369"/>
    <w:rsid w:val="00E30B33"/>
    <w:rsid w:val="00E37E0C"/>
    <w:rsid w:val="00E40B26"/>
    <w:rsid w:val="00E44EB7"/>
    <w:rsid w:val="00E4528C"/>
    <w:rsid w:val="00E46159"/>
    <w:rsid w:val="00E47C82"/>
    <w:rsid w:val="00E5393A"/>
    <w:rsid w:val="00E56146"/>
    <w:rsid w:val="00E5661C"/>
    <w:rsid w:val="00E631B3"/>
    <w:rsid w:val="00E64770"/>
    <w:rsid w:val="00E6780D"/>
    <w:rsid w:val="00E72C98"/>
    <w:rsid w:val="00E72F18"/>
    <w:rsid w:val="00E74608"/>
    <w:rsid w:val="00E80CA2"/>
    <w:rsid w:val="00E832C7"/>
    <w:rsid w:val="00E959AA"/>
    <w:rsid w:val="00EA656C"/>
    <w:rsid w:val="00EA7136"/>
    <w:rsid w:val="00EB12BF"/>
    <w:rsid w:val="00EB5BAB"/>
    <w:rsid w:val="00EB753E"/>
    <w:rsid w:val="00EC701B"/>
    <w:rsid w:val="00EE1D2F"/>
    <w:rsid w:val="00EE4DFE"/>
    <w:rsid w:val="00F007C5"/>
    <w:rsid w:val="00F04534"/>
    <w:rsid w:val="00F04B2F"/>
    <w:rsid w:val="00F05E7C"/>
    <w:rsid w:val="00F07E0D"/>
    <w:rsid w:val="00F10999"/>
    <w:rsid w:val="00F1280A"/>
    <w:rsid w:val="00F206A1"/>
    <w:rsid w:val="00F2286B"/>
    <w:rsid w:val="00F22C51"/>
    <w:rsid w:val="00F22EBD"/>
    <w:rsid w:val="00F3404B"/>
    <w:rsid w:val="00F3627F"/>
    <w:rsid w:val="00F45CB1"/>
    <w:rsid w:val="00F54BAF"/>
    <w:rsid w:val="00F57340"/>
    <w:rsid w:val="00F642D5"/>
    <w:rsid w:val="00F77AFE"/>
    <w:rsid w:val="00F81F22"/>
    <w:rsid w:val="00F841AF"/>
    <w:rsid w:val="00F87F40"/>
    <w:rsid w:val="00F91077"/>
    <w:rsid w:val="00F911A9"/>
    <w:rsid w:val="00F962D6"/>
    <w:rsid w:val="00FA0544"/>
    <w:rsid w:val="00FB5436"/>
    <w:rsid w:val="00FB5DFA"/>
    <w:rsid w:val="00FB6A99"/>
    <w:rsid w:val="00FC1005"/>
    <w:rsid w:val="00FC1936"/>
    <w:rsid w:val="00FC3E73"/>
    <w:rsid w:val="00FC517F"/>
    <w:rsid w:val="00FC7F21"/>
    <w:rsid w:val="00FD0B09"/>
    <w:rsid w:val="00FD1FA5"/>
    <w:rsid w:val="00FD4383"/>
    <w:rsid w:val="00FD5C06"/>
    <w:rsid w:val="00FE1C00"/>
    <w:rsid w:val="00FE1E2A"/>
    <w:rsid w:val="00FE233C"/>
    <w:rsid w:val="00FE31F5"/>
    <w:rsid w:val="00FE4E80"/>
    <w:rsid w:val="00FF573B"/>
    <w:rsid w:val="01A94A2F"/>
    <w:rsid w:val="03CB4E87"/>
    <w:rsid w:val="06980A45"/>
    <w:rsid w:val="0B648234"/>
    <w:rsid w:val="0FBCA0F2"/>
    <w:rsid w:val="14E69525"/>
    <w:rsid w:val="15FE9630"/>
    <w:rsid w:val="170FDDFD"/>
    <w:rsid w:val="1ADA61BA"/>
    <w:rsid w:val="1E66A68F"/>
    <w:rsid w:val="230751EE"/>
    <w:rsid w:val="24ABCFC1"/>
    <w:rsid w:val="25011E77"/>
    <w:rsid w:val="2AA0BAA3"/>
    <w:rsid w:val="2B4DA279"/>
    <w:rsid w:val="2CB8436A"/>
    <w:rsid w:val="2DBF6744"/>
    <w:rsid w:val="3A100588"/>
    <w:rsid w:val="41D71D0F"/>
    <w:rsid w:val="42F01FD2"/>
    <w:rsid w:val="44317D2B"/>
    <w:rsid w:val="456A7529"/>
    <w:rsid w:val="46B0C72F"/>
    <w:rsid w:val="49E68F0E"/>
    <w:rsid w:val="4E065BC9"/>
    <w:rsid w:val="4E27512A"/>
    <w:rsid w:val="4E993E6A"/>
    <w:rsid w:val="4F22A424"/>
    <w:rsid w:val="4F5D30C5"/>
    <w:rsid w:val="501D61DB"/>
    <w:rsid w:val="511DAB9B"/>
    <w:rsid w:val="55428B42"/>
    <w:rsid w:val="581C4A0D"/>
    <w:rsid w:val="5C2089EC"/>
    <w:rsid w:val="5C3F0C7A"/>
    <w:rsid w:val="61CDD67C"/>
    <w:rsid w:val="62CC1666"/>
    <w:rsid w:val="6471DF06"/>
    <w:rsid w:val="669F0C5D"/>
    <w:rsid w:val="70C7EC73"/>
    <w:rsid w:val="72157FD8"/>
    <w:rsid w:val="77DABFF7"/>
    <w:rsid w:val="7A12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0BFDC69"/>
  <w15:docId w15:val="{EFEF5AFC-2A0A-4EA5-8283-1F24E856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C517F"/>
    <w:rPr>
      <w:sz w:val="24"/>
      <w:szCs w:val="24"/>
    </w:rPr>
  </w:style>
  <w:style w:type="paragraph" w:styleId="Ttulo1">
    <w:name w:val="heading 1"/>
    <w:basedOn w:val="Normal"/>
    <w:next w:val="Normal"/>
    <w:rsid w:val="00B470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B470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B470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B470C6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B470C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B470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rsid w:val="00B470C6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B470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rsid w:val="00B470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34"/>
    <w:qFormat/>
    <w:rsid w:val="0043276D"/>
    <w:pPr>
      <w:ind w:left="720"/>
      <w:contextualSpacing/>
    </w:pPr>
  </w:style>
  <w:style w:type="character" w:styleId="Refdecomentrio">
    <w:name w:val="annotation reference"/>
    <w:uiPriority w:val="99"/>
    <w:semiHidden/>
    <w:unhideWhenUsed/>
    <w:rsid w:val="00FB5DF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5DFA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FB5DF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B5DFA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FB5DFA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B470C6"/>
    <w:rPr>
      <w:color w:val="0000FF"/>
      <w:u w:val="single"/>
    </w:rPr>
  </w:style>
  <w:style w:type="table" w:styleId="Tabelacomgrade">
    <w:name w:val="Table Grid"/>
    <w:basedOn w:val="Tabelanormal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enoPendente1">
    <w:name w:val="Menção Pendente1"/>
    <w:uiPriority w:val="99"/>
    <w:semiHidden/>
    <w:unhideWhenUsed/>
    <w:rsid w:val="00F962D6"/>
    <w:rPr>
      <w:color w:val="605E5C"/>
      <w:shd w:val="clear" w:color="auto" w:fill="E1DFDD"/>
    </w:rPr>
  </w:style>
  <w:style w:type="character" w:customStyle="1" w:styleId="CabealhoChar">
    <w:name w:val="Cabeçalho Char"/>
    <w:basedOn w:val="Fontepargpadro"/>
    <w:link w:val="Cabealho"/>
    <w:uiPriority w:val="99"/>
    <w:rsid w:val="00B470C6"/>
  </w:style>
  <w:style w:type="paragraph" w:styleId="Cabealho">
    <w:name w:val="header"/>
    <w:basedOn w:val="Normal"/>
    <w:link w:val="CabealhoChar"/>
    <w:uiPriority w:val="99"/>
    <w:unhideWhenUsed/>
    <w:rsid w:val="00B470C6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rsid w:val="00B470C6"/>
  </w:style>
  <w:style w:type="paragraph" w:styleId="Rodap">
    <w:name w:val="footer"/>
    <w:basedOn w:val="Normal"/>
    <w:link w:val="RodapChar"/>
    <w:uiPriority w:val="99"/>
    <w:unhideWhenUsed/>
    <w:rsid w:val="00B470C6"/>
    <w:pPr>
      <w:tabs>
        <w:tab w:val="center" w:pos="4680"/>
        <w:tab w:val="right" w:pos="9360"/>
      </w:tabs>
    </w:pPr>
  </w:style>
  <w:style w:type="paragraph" w:customStyle="1" w:styleId="Default">
    <w:name w:val="Default"/>
    <w:rsid w:val="00441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466CCA"/>
    <w:rPr>
      <w:sz w:val="24"/>
      <w:szCs w:val="24"/>
    </w:rPr>
  </w:style>
  <w:style w:type="character" w:customStyle="1" w:styleId="normaltextrun">
    <w:name w:val="normaltextrun"/>
    <w:basedOn w:val="Fontepargpadro"/>
    <w:rsid w:val="00634D77"/>
  </w:style>
  <w:style w:type="character" w:customStyle="1" w:styleId="eop">
    <w:name w:val="eop"/>
    <w:basedOn w:val="Fontepargpadro"/>
    <w:rsid w:val="00634D77"/>
  </w:style>
  <w:style w:type="table" w:customStyle="1" w:styleId="TableNormal1">
    <w:name w:val="Table Normal1"/>
    <w:rsid w:val="00570747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73E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073ECF"/>
    <w:rPr>
      <w:rFonts w:ascii="Segoe UI" w:hAnsi="Segoe UI" w:cs="Segoe UI"/>
      <w:sz w:val="18"/>
      <w:szCs w:val="18"/>
    </w:rPr>
  </w:style>
  <w:style w:type="character" w:styleId="TextodoEspaoReservado">
    <w:name w:val="Placeholder Text"/>
    <w:uiPriority w:val="99"/>
    <w:semiHidden/>
    <w:rsid w:val="004D2A64"/>
    <w:rPr>
      <w:color w:val="808080"/>
    </w:rPr>
  </w:style>
  <w:style w:type="character" w:customStyle="1" w:styleId="MenoPendente2">
    <w:name w:val="Menção Pendente2"/>
    <w:uiPriority w:val="99"/>
    <w:semiHidden/>
    <w:unhideWhenUsed/>
    <w:rsid w:val="002F036E"/>
    <w:rPr>
      <w:color w:val="605E5C"/>
      <w:shd w:val="clear" w:color="auto" w:fill="E1DFDD"/>
    </w:rPr>
  </w:style>
  <w:style w:type="paragraph" w:customStyle="1" w:styleId="LO-normal">
    <w:name w:val="LO-normal"/>
    <w:qFormat/>
    <w:rsid w:val="00CC6A1F"/>
    <w:pPr>
      <w:suppressAutoHyphens/>
    </w:pPr>
    <w:rPr>
      <w:rFonts w:eastAsia="NSimSun" w:cs="Lucida Sans"/>
      <w:lang w:eastAsia="zh-CN" w:bidi="hi-IN"/>
    </w:rPr>
  </w:style>
  <w:style w:type="table" w:customStyle="1" w:styleId="TableNormal">
    <w:name w:val="Table Normal"/>
    <w:rsid w:val="00CC6A1F"/>
    <w:pPr>
      <w:suppressAutoHyphens/>
    </w:pPr>
    <w:rPr>
      <w:rFonts w:eastAsia="NSimSun" w:cs="Lucida Sans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33D1B"/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CorpodetextoChar">
    <w:name w:val="Corpo de texto Char"/>
    <w:link w:val="Corpodetexto"/>
    <w:uiPriority w:val="1"/>
    <w:rsid w:val="00733D1B"/>
    <w:rPr>
      <w:rFonts w:ascii="Arial MT" w:eastAsia="Arial MT" w:hAnsi="Arial MT" w:cs="Arial MT"/>
      <w:sz w:val="22"/>
      <w:szCs w:val="22"/>
      <w:lang w:val="pt-PT" w:eastAsia="en-US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C5528B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C5528B"/>
  </w:style>
  <w:style w:type="character" w:styleId="Refdenotadefim">
    <w:name w:val="endnote reference"/>
    <w:uiPriority w:val="99"/>
    <w:semiHidden/>
    <w:unhideWhenUsed/>
    <w:rsid w:val="00C5528B"/>
    <w:rPr>
      <w:vertAlign w:val="superscript"/>
    </w:rPr>
  </w:style>
  <w:style w:type="character" w:styleId="MenoPendente">
    <w:name w:val="Unresolved Mention"/>
    <w:basedOn w:val="Fontepargpadro"/>
    <w:uiPriority w:val="99"/>
    <w:semiHidden/>
    <w:unhideWhenUsed/>
    <w:rsid w:val="00427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6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0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oberto.pacheco@udesc.b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vandro.fuechter@udesc.b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isas%20do%20PC\LILIA\Downloads\Modelo_Estudo%20T&#233;cnico%20Preliminar.do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0E9E82358FF544A6C05DC9405864BC" ma:contentTypeVersion="12" ma:contentTypeDescription="Crie um novo documento." ma:contentTypeScope="" ma:versionID="d2a76236cb49df5df969e95ad7835f25">
  <xsd:schema xmlns:xsd="http://www.w3.org/2001/XMLSchema" xmlns:xs="http://www.w3.org/2001/XMLSchema" xmlns:p="http://schemas.microsoft.com/office/2006/metadata/properties" xmlns:ns2="41d635f4-39e4-4670-8820-f270028a9fd8" xmlns:ns3="921382d7-d1e8-4242-93b9-f7ceb45147e3" targetNamespace="http://schemas.microsoft.com/office/2006/metadata/properties" ma:root="true" ma:fieldsID="20182a47cf119ac00e656919f1b3daa4" ns2:_="" ns3:_="">
    <xsd:import namespace="41d635f4-39e4-4670-8820-f270028a9fd8"/>
    <xsd:import namespace="921382d7-d1e8-4242-93b9-f7ceb4514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35f4-39e4-4670-8820-f270028a9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382d7-d1e8-4242-93b9-f7ceb4514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E89AD-64FD-4F36-A93E-34EF944F0B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8EB1E0-7269-48D4-8F61-3CBAA3C2E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635f4-39e4-4670-8820-f270028a9fd8"/>
    <ds:schemaRef ds:uri="921382d7-d1e8-4242-93b9-f7ceb4514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B41B3A-40B6-4A8F-AD76-35CE0F1C9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E7A834-E9BF-4D74-835C-2B94A0EF6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Modelo_Estudo Técnico Preliminar.dotm</Template>
  <TotalTime>139</TotalTime>
  <Pages>4</Pages>
  <Words>2292</Words>
  <Characters>12379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 KRETZER JUNIOR</dc:creator>
  <cp:keywords/>
  <cp:lastModifiedBy>RUBENS CRIPPA JUNIOR</cp:lastModifiedBy>
  <cp:revision>41</cp:revision>
  <cp:lastPrinted>2024-06-28T21:34:00Z</cp:lastPrinted>
  <dcterms:created xsi:type="dcterms:W3CDTF">2024-02-08T19:03:00Z</dcterms:created>
  <dcterms:modified xsi:type="dcterms:W3CDTF">2024-07-12T18:11:00Z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0x010100740E9E82358FF544A6C05DC9405864BC</vt:lpwstr>
  </property>
</Properties>
</file>